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D4D" w:rsidRPr="00786473" w:rsidRDefault="00C24CC3" w:rsidP="00204FBC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786473">
        <w:rPr>
          <w:rFonts w:ascii="Times New Roman" w:hAnsi="Times New Roman" w:cs="Times New Roman"/>
          <w:b/>
          <w:sz w:val="28"/>
          <w:szCs w:val="24"/>
          <w:u w:val="single"/>
        </w:rPr>
        <w:t>202</w:t>
      </w:r>
      <w:r w:rsidR="004F788A">
        <w:rPr>
          <w:rFonts w:ascii="Times New Roman" w:hAnsi="Times New Roman" w:cs="Times New Roman"/>
          <w:b/>
          <w:sz w:val="28"/>
          <w:szCs w:val="24"/>
          <w:u w:val="single"/>
        </w:rPr>
        <w:t>3</w:t>
      </w:r>
      <w:r w:rsidRPr="00786473">
        <w:rPr>
          <w:rFonts w:ascii="Times New Roman" w:hAnsi="Times New Roman" w:cs="Times New Roman"/>
          <w:b/>
          <w:sz w:val="28"/>
          <w:szCs w:val="24"/>
          <w:u w:val="single"/>
        </w:rPr>
        <w:t xml:space="preserve"> YILI YANGINLAR</w:t>
      </w:r>
      <w:r w:rsidR="00786473">
        <w:rPr>
          <w:rFonts w:ascii="Times New Roman" w:hAnsi="Times New Roman" w:cs="Times New Roman"/>
          <w:b/>
          <w:sz w:val="28"/>
          <w:szCs w:val="24"/>
          <w:u w:val="single"/>
        </w:rPr>
        <w:t>I</w:t>
      </w:r>
    </w:p>
    <w:p w:rsidR="00924F97" w:rsidRPr="00924F97" w:rsidRDefault="00924F97" w:rsidP="00924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F97">
        <w:rPr>
          <w:rFonts w:ascii="Times New Roman" w:hAnsi="Times New Roman" w:cs="Times New Roman"/>
          <w:sz w:val="24"/>
          <w:szCs w:val="24"/>
        </w:rPr>
        <w:t>202</w:t>
      </w:r>
      <w:r w:rsidR="004F788A">
        <w:rPr>
          <w:rFonts w:ascii="Times New Roman" w:hAnsi="Times New Roman" w:cs="Times New Roman"/>
          <w:sz w:val="24"/>
          <w:szCs w:val="24"/>
        </w:rPr>
        <w:t>3</w:t>
      </w:r>
      <w:r w:rsidRPr="00924F97">
        <w:rPr>
          <w:rFonts w:ascii="Times New Roman" w:hAnsi="Times New Roman" w:cs="Times New Roman"/>
          <w:sz w:val="24"/>
          <w:szCs w:val="24"/>
        </w:rPr>
        <w:t xml:space="preserve"> yılında toplam </w:t>
      </w:r>
      <w:r w:rsidR="00FA75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544</w:t>
      </w:r>
      <w:r w:rsidRPr="00924F97">
        <w:rPr>
          <w:rFonts w:ascii="Times New Roman" w:hAnsi="Times New Roman" w:cs="Times New Roman"/>
          <w:sz w:val="24"/>
          <w:szCs w:val="24"/>
        </w:rPr>
        <w:t xml:space="preserve"> yangın meydana gelmiştir. </w:t>
      </w:r>
      <w:r>
        <w:rPr>
          <w:rFonts w:ascii="Times New Roman" w:hAnsi="Times New Roman" w:cs="Times New Roman"/>
          <w:sz w:val="24"/>
          <w:szCs w:val="24"/>
        </w:rPr>
        <w:t xml:space="preserve">Bu </w:t>
      </w:r>
      <w:r w:rsidRPr="00924F97">
        <w:rPr>
          <w:rFonts w:ascii="Times New Roman" w:hAnsi="Times New Roman" w:cs="Times New Roman"/>
          <w:sz w:val="24"/>
          <w:szCs w:val="24"/>
        </w:rPr>
        <w:t xml:space="preserve">yangınlar sonucu </w:t>
      </w:r>
      <w:r w:rsidR="00FA757F" w:rsidRPr="00FA75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89.483.200 TL</w:t>
      </w:r>
      <w:r w:rsidRPr="00BD2E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maddi</w:t>
      </w:r>
      <w:r w:rsidRPr="00924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zarar meydana gelmiştir.</w:t>
      </w:r>
    </w:p>
    <w:p w:rsidR="004215F7" w:rsidRPr="00924F97" w:rsidRDefault="00924F97" w:rsidP="00924F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F97">
        <w:rPr>
          <w:rFonts w:ascii="Times New Roman" w:hAnsi="Times New Roman" w:cs="Times New Roman"/>
          <w:sz w:val="24"/>
          <w:szCs w:val="24"/>
        </w:rPr>
        <w:t xml:space="preserve">Yangınların </w:t>
      </w:r>
      <w:r w:rsidR="00FA757F">
        <w:rPr>
          <w:rFonts w:ascii="Times New Roman" w:hAnsi="Times New Roman" w:cs="Times New Roman"/>
          <w:sz w:val="24"/>
          <w:szCs w:val="24"/>
        </w:rPr>
        <w:t>148</w:t>
      </w:r>
      <w:r w:rsidR="00E4145D" w:rsidRPr="00924F97">
        <w:rPr>
          <w:rFonts w:ascii="Times New Roman" w:hAnsi="Times New Roman" w:cs="Times New Roman"/>
          <w:sz w:val="24"/>
          <w:szCs w:val="24"/>
        </w:rPr>
        <w:t>’</w:t>
      </w:r>
      <w:r w:rsidR="00FA757F">
        <w:rPr>
          <w:rFonts w:ascii="Times New Roman" w:hAnsi="Times New Roman" w:cs="Times New Roman"/>
          <w:sz w:val="24"/>
          <w:szCs w:val="24"/>
        </w:rPr>
        <w:t>i</w:t>
      </w:r>
      <w:r w:rsidR="004215F7" w:rsidRPr="00924F97">
        <w:rPr>
          <w:rFonts w:ascii="Times New Roman" w:hAnsi="Times New Roman" w:cs="Times New Roman"/>
          <w:sz w:val="24"/>
          <w:szCs w:val="24"/>
        </w:rPr>
        <w:t xml:space="preserve"> Lef</w:t>
      </w:r>
      <w:r w:rsidR="00E4145D" w:rsidRPr="00924F97">
        <w:rPr>
          <w:rFonts w:ascii="Times New Roman" w:hAnsi="Times New Roman" w:cs="Times New Roman"/>
          <w:sz w:val="24"/>
          <w:szCs w:val="24"/>
        </w:rPr>
        <w:t>koşa,</w:t>
      </w:r>
      <w:r w:rsidR="00FA757F">
        <w:rPr>
          <w:rFonts w:ascii="Times New Roman" w:hAnsi="Times New Roman" w:cs="Times New Roman"/>
          <w:sz w:val="24"/>
          <w:szCs w:val="24"/>
        </w:rPr>
        <w:t xml:space="preserve"> 115’i</w:t>
      </w:r>
      <w:r w:rsidR="00385206" w:rsidRPr="00924F97">
        <w:rPr>
          <w:rFonts w:ascii="Times New Roman" w:hAnsi="Times New Roman" w:cs="Times New Roman"/>
          <w:sz w:val="24"/>
          <w:szCs w:val="24"/>
        </w:rPr>
        <w:t xml:space="preserve"> Girne</w:t>
      </w:r>
      <w:r w:rsidR="00385206">
        <w:rPr>
          <w:rFonts w:ascii="Times New Roman" w:hAnsi="Times New Roman" w:cs="Times New Roman"/>
          <w:sz w:val="24"/>
          <w:szCs w:val="24"/>
        </w:rPr>
        <w:t>,</w:t>
      </w:r>
      <w:r w:rsidR="00E4145D" w:rsidRPr="00924F97">
        <w:rPr>
          <w:rFonts w:ascii="Times New Roman" w:hAnsi="Times New Roman" w:cs="Times New Roman"/>
          <w:sz w:val="24"/>
          <w:szCs w:val="24"/>
        </w:rPr>
        <w:t xml:space="preserve"> </w:t>
      </w:r>
      <w:r w:rsidR="00FA757F">
        <w:rPr>
          <w:rFonts w:ascii="Times New Roman" w:hAnsi="Times New Roman" w:cs="Times New Roman"/>
          <w:sz w:val="24"/>
          <w:szCs w:val="24"/>
        </w:rPr>
        <w:t>101’i Gazimağusa, 37’si</w:t>
      </w:r>
      <w:r w:rsidR="004215F7" w:rsidRPr="00924F97">
        <w:rPr>
          <w:rFonts w:ascii="Times New Roman" w:hAnsi="Times New Roman" w:cs="Times New Roman"/>
          <w:sz w:val="24"/>
          <w:szCs w:val="24"/>
        </w:rPr>
        <w:t xml:space="preserve"> Güzelyurt, </w:t>
      </w:r>
      <w:r w:rsidR="00385206">
        <w:rPr>
          <w:rFonts w:ascii="Times New Roman" w:hAnsi="Times New Roman" w:cs="Times New Roman"/>
          <w:sz w:val="24"/>
          <w:szCs w:val="24"/>
        </w:rPr>
        <w:t>31</w:t>
      </w:r>
      <w:r w:rsidR="008B3758">
        <w:rPr>
          <w:rFonts w:ascii="Times New Roman" w:hAnsi="Times New Roman" w:cs="Times New Roman"/>
          <w:sz w:val="24"/>
          <w:szCs w:val="24"/>
        </w:rPr>
        <w:t>’</w:t>
      </w:r>
      <w:r w:rsidRPr="00924F97">
        <w:rPr>
          <w:rFonts w:ascii="Times New Roman" w:hAnsi="Times New Roman" w:cs="Times New Roman"/>
          <w:sz w:val="24"/>
          <w:szCs w:val="24"/>
        </w:rPr>
        <w:t xml:space="preserve">i </w:t>
      </w:r>
      <w:r w:rsidR="004215F7" w:rsidRPr="00924F97">
        <w:rPr>
          <w:rFonts w:ascii="Times New Roman" w:hAnsi="Times New Roman" w:cs="Times New Roman"/>
          <w:sz w:val="24"/>
          <w:szCs w:val="24"/>
        </w:rPr>
        <w:t xml:space="preserve">Geçitkale, </w:t>
      </w:r>
      <w:r w:rsidR="00FA757F">
        <w:rPr>
          <w:rFonts w:ascii="Times New Roman" w:hAnsi="Times New Roman" w:cs="Times New Roman"/>
          <w:sz w:val="24"/>
          <w:szCs w:val="24"/>
        </w:rPr>
        <w:t>29</w:t>
      </w:r>
      <w:r w:rsidR="00045A3E" w:rsidRPr="00924F97">
        <w:rPr>
          <w:rFonts w:ascii="Times New Roman" w:hAnsi="Times New Roman" w:cs="Times New Roman"/>
          <w:sz w:val="24"/>
          <w:szCs w:val="24"/>
        </w:rPr>
        <w:t>’</w:t>
      </w:r>
      <w:r w:rsidR="00FA757F">
        <w:rPr>
          <w:rFonts w:ascii="Times New Roman" w:hAnsi="Times New Roman" w:cs="Times New Roman"/>
          <w:sz w:val="24"/>
          <w:szCs w:val="24"/>
        </w:rPr>
        <w:t>u Çağlayan</w:t>
      </w:r>
      <w:r w:rsidR="00045A3E" w:rsidRPr="00924F97">
        <w:rPr>
          <w:rFonts w:ascii="Times New Roman" w:hAnsi="Times New Roman" w:cs="Times New Roman"/>
          <w:sz w:val="24"/>
          <w:szCs w:val="24"/>
        </w:rPr>
        <w:t xml:space="preserve">, </w:t>
      </w:r>
      <w:r w:rsidR="00385206">
        <w:rPr>
          <w:rFonts w:ascii="Times New Roman" w:hAnsi="Times New Roman" w:cs="Times New Roman"/>
          <w:sz w:val="24"/>
          <w:szCs w:val="24"/>
        </w:rPr>
        <w:t>27</w:t>
      </w:r>
      <w:r w:rsidR="00FA757F">
        <w:rPr>
          <w:rFonts w:ascii="Times New Roman" w:hAnsi="Times New Roman" w:cs="Times New Roman"/>
          <w:sz w:val="24"/>
          <w:szCs w:val="24"/>
        </w:rPr>
        <w:t>’si İskele</w:t>
      </w:r>
      <w:r w:rsidR="00045A3E">
        <w:rPr>
          <w:rFonts w:ascii="Times New Roman" w:hAnsi="Times New Roman" w:cs="Times New Roman"/>
          <w:sz w:val="24"/>
          <w:szCs w:val="24"/>
        </w:rPr>
        <w:t xml:space="preserve">, </w:t>
      </w:r>
      <w:r w:rsidR="00FA757F">
        <w:rPr>
          <w:rFonts w:ascii="Times New Roman" w:hAnsi="Times New Roman" w:cs="Times New Roman"/>
          <w:sz w:val="24"/>
          <w:szCs w:val="24"/>
        </w:rPr>
        <w:t>27’si</w:t>
      </w:r>
      <w:r w:rsidR="00045A3E" w:rsidRPr="00924F97">
        <w:rPr>
          <w:rFonts w:ascii="Times New Roman" w:hAnsi="Times New Roman" w:cs="Times New Roman"/>
          <w:sz w:val="24"/>
          <w:szCs w:val="24"/>
        </w:rPr>
        <w:t xml:space="preserve"> Gemikonağı, </w:t>
      </w:r>
      <w:r w:rsidR="00385206">
        <w:rPr>
          <w:rFonts w:ascii="Times New Roman" w:hAnsi="Times New Roman" w:cs="Times New Roman"/>
          <w:sz w:val="24"/>
          <w:szCs w:val="24"/>
        </w:rPr>
        <w:t>15’i</w:t>
      </w:r>
      <w:r w:rsidR="00BD1AD2" w:rsidRPr="00924F97">
        <w:rPr>
          <w:rFonts w:ascii="Times New Roman" w:hAnsi="Times New Roman" w:cs="Times New Roman"/>
          <w:sz w:val="24"/>
          <w:szCs w:val="24"/>
        </w:rPr>
        <w:t xml:space="preserve"> Yeşilköy, </w:t>
      </w:r>
      <w:r w:rsidR="00FA757F">
        <w:rPr>
          <w:rFonts w:ascii="Times New Roman" w:hAnsi="Times New Roman" w:cs="Times New Roman"/>
          <w:sz w:val="24"/>
          <w:szCs w:val="24"/>
        </w:rPr>
        <w:t>8’</w:t>
      </w:r>
      <w:r w:rsidR="00385206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385206">
        <w:rPr>
          <w:rFonts w:ascii="Times New Roman" w:hAnsi="Times New Roman" w:cs="Times New Roman"/>
          <w:sz w:val="24"/>
          <w:szCs w:val="24"/>
        </w:rPr>
        <w:t>Vadili</w:t>
      </w:r>
      <w:proofErr w:type="spellEnd"/>
      <w:r w:rsidR="00385206">
        <w:rPr>
          <w:rFonts w:ascii="Times New Roman" w:hAnsi="Times New Roman" w:cs="Times New Roman"/>
          <w:sz w:val="24"/>
          <w:szCs w:val="24"/>
        </w:rPr>
        <w:t xml:space="preserve">, 6’sı </w:t>
      </w:r>
      <w:proofErr w:type="spellStart"/>
      <w:r w:rsidR="00385206">
        <w:rPr>
          <w:rFonts w:ascii="Times New Roman" w:hAnsi="Times New Roman" w:cs="Times New Roman"/>
          <w:sz w:val="24"/>
          <w:szCs w:val="24"/>
        </w:rPr>
        <w:t>Dipkarpaz</w:t>
      </w:r>
      <w:proofErr w:type="spellEnd"/>
      <w:r w:rsidR="004215F7" w:rsidRPr="00924F97">
        <w:rPr>
          <w:rFonts w:ascii="Times New Roman" w:hAnsi="Times New Roman" w:cs="Times New Roman"/>
          <w:sz w:val="24"/>
          <w:szCs w:val="24"/>
        </w:rPr>
        <w:t xml:space="preserve"> bölgesinde meydana gelmiştir.</w:t>
      </w:r>
    </w:p>
    <w:p w:rsidR="000B2094" w:rsidRPr="00924F97" w:rsidRDefault="005067C8" w:rsidP="00924F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</w:t>
      </w:r>
      <w:r w:rsidRPr="00924F97">
        <w:rPr>
          <w:rFonts w:ascii="Times New Roman" w:hAnsi="Times New Roman" w:cs="Times New Roman"/>
          <w:sz w:val="24"/>
          <w:szCs w:val="24"/>
        </w:rPr>
        <w:t>yangın</w:t>
      </w:r>
      <w:r>
        <w:rPr>
          <w:rFonts w:ascii="Times New Roman" w:hAnsi="Times New Roman" w:cs="Times New Roman"/>
          <w:sz w:val="24"/>
          <w:szCs w:val="24"/>
        </w:rPr>
        <w:t>ların</w:t>
      </w:r>
      <w:r w:rsidRPr="00924F97">
        <w:rPr>
          <w:rFonts w:ascii="Times New Roman" w:hAnsi="Times New Roman" w:cs="Times New Roman"/>
          <w:sz w:val="24"/>
          <w:szCs w:val="24"/>
        </w:rPr>
        <w:t xml:space="preserve"> </w:t>
      </w:r>
      <w:r w:rsidR="008C7C03" w:rsidRPr="00924F97">
        <w:rPr>
          <w:rFonts w:ascii="Times New Roman" w:hAnsi="Times New Roman" w:cs="Times New Roman"/>
          <w:sz w:val="24"/>
          <w:szCs w:val="24"/>
        </w:rPr>
        <w:t>çıkış sebeplerinden</w:t>
      </w:r>
      <w:r>
        <w:rPr>
          <w:rFonts w:ascii="Times New Roman" w:hAnsi="Times New Roman" w:cs="Times New Roman"/>
          <w:sz w:val="24"/>
          <w:szCs w:val="24"/>
        </w:rPr>
        <w:t xml:space="preserve"> olan;</w:t>
      </w:r>
      <w:r w:rsidR="008C7C03" w:rsidRPr="00924F97">
        <w:rPr>
          <w:rFonts w:ascii="Times New Roman" w:hAnsi="Times New Roman" w:cs="Times New Roman"/>
          <w:sz w:val="24"/>
          <w:szCs w:val="24"/>
        </w:rPr>
        <w:t xml:space="preserve"> </w:t>
      </w:r>
      <w:r w:rsidR="008C7C03" w:rsidRPr="00924F97">
        <w:rPr>
          <w:rFonts w:ascii="Times New Roman" w:hAnsi="Times New Roman" w:cs="Times New Roman"/>
          <w:b/>
          <w:sz w:val="24"/>
          <w:szCs w:val="24"/>
        </w:rPr>
        <w:t>k</w:t>
      </w:r>
      <w:r w:rsidR="000B2094" w:rsidRPr="00924F97">
        <w:rPr>
          <w:rFonts w:ascii="Times New Roman" w:hAnsi="Times New Roman" w:cs="Times New Roman"/>
          <w:b/>
          <w:sz w:val="24"/>
          <w:szCs w:val="24"/>
        </w:rPr>
        <w:t>undaklama,</w:t>
      </w:r>
      <w:r w:rsidR="000B2094" w:rsidRPr="00924F97">
        <w:rPr>
          <w:rFonts w:ascii="Times New Roman" w:hAnsi="Times New Roman" w:cs="Times New Roman"/>
          <w:sz w:val="24"/>
          <w:szCs w:val="24"/>
        </w:rPr>
        <w:t xml:space="preserve"> </w:t>
      </w:r>
      <w:r w:rsidR="000B2094" w:rsidRPr="00924F97">
        <w:rPr>
          <w:rFonts w:ascii="Times New Roman" w:hAnsi="Times New Roman" w:cs="Times New Roman"/>
          <w:b/>
          <w:sz w:val="24"/>
          <w:szCs w:val="24"/>
        </w:rPr>
        <w:t>kasti hasar verme, temizlik maksatlı ve izinsiz ateş yakan</w:t>
      </w:r>
      <w:r w:rsidR="00287504">
        <w:rPr>
          <w:rFonts w:ascii="Times New Roman" w:hAnsi="Times New Roman" w:cs="Times New Roman"/>
          <w:b/>
          <w:sz w:val="24"/>
          <w:szCs w:val="24"/>
        </w:rPr>
        <w:t xml:space="preserve"> toplam </w:t>
      </w:r>
      <w:r w:rsidR="00FA75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58</w:t>
      </w:r>
      <w:r w:rsidR="000B2094" w:rsidRPr="00924F97">
        <w:rPr>
          <w:rFonts w:ascii="Times New Roman" w:hAnsi="Times New Roman" w:cs="Times New Roman"/>
          <w:b/>
          <w:sz w:val="24"/>
          <w:szCs w:val="24"/>
        </w:rPr>
        <w:t xml:space="preserve"> şahıs hakkında yasal işlem</w:t>
      </w:r>
      <w:r w:rsidR="000B2094" w:rsidRPr="00924F97">
        <w:rPr>
          <w:rFonts w:ascii="Times New Roman" w:hAnsi="Times New Roman" w:cs="Times New Roman"/>
          <w:sz w:val="24"/>
          <w:szCs w:val="24"/>
        </w:rPr>
        <w:t xml:space="preserve"> yapılmıştır.</w:t>
      </w:r>
    </w:p>
    <w:p w:rsidR="00332FD2" w:rsidRPr="00BD2ECA" w:rsidRDefault="0096250B" w:rsidP="00924F97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30C7D">
        <w:rPr>
          <w:rFonts w:ascii="Times New Roman" w:hAnsi="Times New Roman" w:cs="Times New Roman"/>
          <w:b/>
          <w:sz w:val="24"/>
          <w:szCs w:val="24"/>
        </w:rPr>
        <w:t>Arazi yangınları:</w:t>
      </w:r>
      <w:r w:rsidRPr="00B30C7D">
        <w:rPr>
          <w:rFonts w:ascii="Times New Roman" w:hAnsi="Times New Roman" w:cs="Times New Roman"/>
          <w:sz w:val="24"/>
          <w:szCs w:val="24"/>
        </w:rPr>
        <w:t xml:space="preserve"> </w:t>
      </w:r>
      <w:r w:rsidR="0075637F" w:rsidRPr="00B30C7D">
        <w:rPr>
          <w:rFonts w:ascii="Times New Roman" w:hAnsi="Times New Roman" w:cs="Times New Roman"/>
          <w:sz w:val="24"/>
          <w:szCs w:val="24"/>
        </w:rPr>
        <w:t>202</w:t>
      </w:r>
      <w:r w:rsidR="004F788A">
        <w:rPr>
          <w:rFonts w:ascii="Times New Roman" w:hAnsi="Times New Roman" w:cs="Times New Roman"/>
          <w:sz w:val="24"/>
          <w:szCs w:val="24"/>
        </w:rPr>
        <w:t>3</w:t>
      </w:r>
      <w:r w:rsidR="0075637F" w:rsidRPr="00B30C7D">
        <w:rPr>
          <w:rFonts w:ascii="Times New Roman" w:hAnsi="Times New Roman" w:cs="Times New Roman"/>
          <w:sz w:val="24"/>
          <w:szCs w:val="24"/>
        </w:rPr>
        <w:t xml:space="preserve"> yılı içerisinde toplamda </w:t>
      </w:r>
      <w:r w:rsidR="00FA757F">
        <w:rPr>
          <w:rFonts w:ascii="Times New Roman" w:hAnsi="Times New Roman" w:cs="Times New Roman"/>
          <w:color w:val="000000" w:themeColor="text1"/>
          <w:sz w:val="24"/>
          <w:szCs w:val="24"/>
        </w:rPr>
        <w:t>161</w:t>
      </w:r>
      <w:r w:rsidR="0075637F" w:rsidRPr="00B30C7D">
        <w:rPr>
          <w:rFonts w:ascii="Times New Roman" w:hAnsi="Times New Roman" w:cs="Times New Roman"/>
          <w:sz w:val="24"/>
          <w:szCs w:val="24"/>
        </w:rPr>
        <w:t xml:space="preserve"> arazi yangını meydana gelmiştir. Bunlardan </w:t>
      </w:r>
      <w:r w:rsidR="00FA757F">
        <w:rPr>
          <w:rFonts w:ascii="Times New Roman" w:hAnsi="Times New Roman" w:cs="Times New Roman"/>
          <w:sz w:val="24"/>
          <w:szCs w:val="24"/>
        </w:rPr>
        <w:t>86</w:t>
      </w:r>
      <w:r w:rsidR="00C64518" w:rsidRPr="00936B1F">
        <w:rPr>
          <w:rFonts w:ascii="Times New Roman" w:hAnsi="Times New Roman" w:cs="Times New Roman"/>
          <w:sz w:val="24"/>
          <w:szCs w:val="24"/>
        </w:rPr>
        <w:t>’</w:t>
      </w:r>
      <w:r w:rsidR="00855671">
        <w:rPr>
          <w:rFonts w:ascii="Times New Roman" w:hAnsi="Times New Roman" w:cs="Times New Roman"/>
          <w:sz w:val="24"/>
          <w:szCs w:val="24"/>
        </w:rPr>
        <w:t>sı</w:t>
      </w:r>
      <w:r w:rsidR="0075637F" w:rsidRPr="00B30C7D">
        <w:rPr>
          <w:rFonts w:ascii="Times New Roman" w:hAnsi="Times New Roman" w:cs="Times New Roman"/>
          <w:sz w:val="24"/>
          <w:szCs w:val="24"/>
        </w:rPr>
        <w:t xml:space="preserve"> kuru ot ve çöp yangını</w:t>
      </w:r>
      <w:r w:rsidR="0075637F" w:rsidRPr="00936B1F">
        <w:rPr>
          <w:rFonts w:ascii="Times New Roman" w:hAnsi="Times New Roman" w:cs="Times New Roman"/>
          <w:sz w:val="24"/>
          <w:szCs w:val="24"/>
        </w:rPr>
        <w:t xml:space="preserve">, </w:t>
      </w:r>
      <w:r w:rsidR="00F309DD">
        <w:rPr>
          <w:rFonts w:ascii="Times New Roman" w:hAnsi="Times New Roman" w:cs="Times New Roman"/>
          <w:sz w:val="24"/>
          <w:szCs w:val="24"/>
        </w:rPr>
        <w:t>31</w:t>
      </w:r>
      <w:r w:rsidR="00C64518" w:rsidRPr="00936B1F">
        <w:rPr>
          <w:rFonts w:ascii="Times New Roman" w:hAnsi="Times New Roman" w:cs="Times New Roman"/>
          <w:sz w:val="24"/>
          <w:szCs w:val="24"/>
        </w:rPr>
        <w:t>’i</w:t>
      </w:r>
      <w:r w:rsidR="00F309DD">
        <w:rPr>
          <w:rFonts w:ascii="Times New Roman" w:hAnsi="Times New Roman" w:cs="Times New Roman"/>
          <w:sz w:val="24"/>
          <w:szCs w:val="24"/>
        </w:rPr>
        <w:t xml:space="preserve"> bahçe yangını, 17</w:t>
      </w:r>
      <w:r w:rsidR="00F309DD" w:rsidRPr="00936B1F">
        <w:rPr>
          <w:rFonts w:ascii="Times New Roman" w:hAnsi="Times New Roman" w:cs="Times New Roman"/>
          <w:sz w:val="24"/>
          <w:szCs w:val="24"/>
        </w:rPr>
        <w:t>’</w:t>
      </w:r>
      <w:r w:rsidR="00F309DD">
        <w:rPr>
          <w:rFonts w:ascii="Times New Roman" w:hAnsi="Times New Roman" w:cs="Times New Roman"/>
          <w:sz w:val="24"/>
          <w:szCs w:val="24"/>
        </w:rPr>
        <w:t>s</w:t>
      </w:r>
      <w:r w:rsidR="00F309DD" w:rsidRPr="00936B1F">
        <w:rPr>
          <w:rFonts w:ascii="Times New Roman" w:hAnsi="Times New Roman" w:cs="Times New Roman"/>
          <w:sz w:val="24"/>
          <w:szCs w:val="24"/>
        </w:rPr>
        <w:t>i</w:t>
      </w:r>
      <w:r w:rsidR="00F309DD">
        <w:rPr>
          <w:rFonts w:ascii="Times New Roman" w:hAnsi="Times New Roman" w:cs="Times New Roman"/>
          <w:sz w:val="24"/>
          <w:szCs w:val="24"/>
        </w:rPr>
        <w:t xml:space="preserve"> anız yangını 14’ü</w:t>
      </w:r>
      <w:r w:rsidR="0075637F" w:rsidRPr="00936B1F">
        <w:rPr>
          <w:rFonts w:ascii="Times New Roman" w:hAnsi="Times New Roman" w:cs="Times New Roman"/>
          <w:sz w:val="24"/>
          <w:szCs w:val="24"/>
        </w:rPr>
        <w:t xml:space="preserve"> balya yangını,</w:t>
      </w:r>
      <w:r w:rsidR="00F309DD">
        <w:rPr>
          <w:rFonts w:ascii="Times New Roman" w:hAnsi="Times New Roman" w:cs="Times New Roman"/>
          <w:sz w:val="24"/>
          <w:szCs w:val="24"/>
        </w:rPr>
        <w:t xml:space="preserve"> 1</w:t>
      </w:r>
      <w:r w:rsidR="00015CEE">
        <w:rPr>
          <w:rFonts w:ascii="Times New Roman" w:hAnsi="Times New Roman" w:cs="Times New Roman"/>
          <w:sz w:val="24"/>
          <w:szCs w:val="24"/>
        </w:rPr>
        <w:t>3</w:t>
      </w:r>
      <w:r w:rsidR="00015CEE" w:rsidRPr="00936B1F">
        <w:rPr>
          <w:rFonts w:ascii="Times New Roman" w:hAnsi="Times New Roman" w:cs="Times New Roman"/>
          <w:sz w:val="24"/>
          <w:szCs w:val="24"/>
        </w:rPr>
        <w:t>’ü ekin yangını</w:t>
      </w:r>
      <w:r w:rsidR="00F309DD">
        <w:rPr>
          <w:rFonts w:ascii="Times New Roman" w:hAnsi="Times New Roman" w:cs="Times New Roman"/>
          <w:sz w:val="24"/>
          <w:szCs w:val="24"/>
        </w:rPr>
        <w:t xml:space="preserve"> </w:t>
      </w:r>
      <w:r w:rsidR="0075637F" w:rsidRPr="00B30C7D">
        <w:rPr>
          <w:rFonts w:ascii="Times New Roman" w:hAnsi="Times New Roman" w:cs="Times New Roman"/>
          <w:sz w:val="24"/>
          <w:szCs w:val="24"/>
        </w:rPr>
        <w:t>olmuştur.</w:t>
      </w:r>
      <w:r w:rsidR="00702BC8" w:rsidRPr="00B30C7D">
        <w:rPr>
          <w:rFonts w:ascii="Times New Roman" w:hAnsi="Times New Roman" w:cs="Times New Roman"/>
          <w:sz w:val="24"/>
          <w:szCs w:val="24"/>
        </w:rPr>
        <w:t xml:space="preserve"> </w:t>
      </w:r>
      <w:r w:rsidR="00702BC8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yangınlar sonucunda </w:t>
      </w:r>
      <w:r w:rsidR="00FA757F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2,039</w:t>
      </w:r>
      <w:r w:rsidR="00702BC8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adet bal</w:t>
      </w:r>
      <w:r w:rsidR="008C7C03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ya,</w:t>
      </w:r>
      <w:r w:rsidR="00BF4584" w:rsidRPr="00BF4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4584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290 dönüm ekin</w:t>
      </w:r>
      <w:r w:rsidR="008C7C03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4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160 dönüm anız </w:t>
      </w:r>
      <w:r w:rsidR="00702BC8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yanmıştır. </w:t>
      </w:r>
      <w:proofErr w:type="gramStart"/>
      <w:r w:rsidR="00FA757F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Yangınların 65’</w:t>
      </w:r>
      <w:r w:rsidR="00F309DD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D3249B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087E">
        <w:rPr>
          <w:rFonts w:ascii="Times New Roman" w:hAnsi="Times New Roman" w:cs="Times New Roman"/>
          <w:color w:val="000000" w:themeColor="text1"/>
          <w:sz w:val="24"/>
          <w:szCs w:val="24"/>
        </w:rPr>
        <w:t>sönmemiş sigara izmariti,</w:t>
      </w:r>
      <w:r w:rsidR="00FA757F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30’u</w:t>
      </w:r>
      <w:r w:rsidR="00F309DD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havai elektrik tellerinden düşen kıvılcımlar,</w:t>
      </w:r>
      <w:r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481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5771AD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111481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73A07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temizlik maksa</w:t>
      </w:r>
      <w:r w:rsidR="00C64518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tlı yakılan ateş sonucu</w:t>
      </w:r>
      <w:r w:rsidR="00573A07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11481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F309DD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’ü</w:t>
      </w:r>
      <w:r w:rsidR="002267F0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kişiler tarafından kasten yakılması</w:t>
      </w:r>
      <w:r w:rsidR="00332FD2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11481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D3249B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111481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r w:rsidR="00D3249B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67F0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kaynak ve spiral makinesiyle çalışırken </w:t>
      </w:r>
      <w:r w:rsidR="00543E83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oluşan</w:t>
      </w:r>
      <w:r w:rsidR="00EF4472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kıvılcım</w:t>
      </w:r>
      <w:r w:rsidR="00543E83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lardan</w:t>
      </w:r>
      <w:r w:rsidR="00EF4472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11481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3’ü elektriksel nedenlerden, 2’si güneş ışığının cam parçalarından geçerek yoğunlaşması, 1’i </w:t>
      </w:r>
      <w:r w:rsidR="00332FD2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kimyasal reaksiyon,</w:t>
      </w:r>
      <w:r w:rsidR="006B2F3C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481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1’i</w:t>
      </w:r>
      <w:r w:rsidR="00D3249B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481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çakmak</w:t>
      </w:r>
      <w:r w:rsidR="00372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kullan</w:t>
      </w:r>
      <w:r w:rsidR="00111481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arak, 1</w:t>
      </w:r>
      <w:r w:rsidR="00707198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’i</w:t>
      </w:r>
      <w:r w:rsidR="00BA5CEF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ise</w:t>
      </w:r>
      <w:r w:rsidR="00707198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481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>tarımsal araçtan çıkan kıvılcımlardan çıkmıştır.</w:t>
      </w:r>
      <w:r w:rsidR="00332FD2" w:rsidRPr="001114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End"/>
    </w:p>
    <w:p w:rsidR="0065087E" w:rsidRDefault="00980B8B" w:rsidP="00924F9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0C7D">
        <w:rPr>
          <w:rFonts w:ascii="Times New Roman" w:hAnsi="Times New Roman" w:cs="Times New Roman"/>
          <w:b/>
          <w:sz w:val="24"/>
          <w:szCs w:val="24"/>
        </w:rPr>
        <w:t>Bina Yangınları:</w:t>
      </w:r>
      <w:r w:rsidRPr="00B30C7D">
        <w:rPr>
          <w:rFonts w:ascii="Times New Roman" w:hAnsi="Times New Roman" w:cs="Times New Roman"/>
          <w:sz w:val="24"/>
          <w:szCs w:val="24"/>
        </w:rPr>
        <w:t xml:space="preserve"> </w:t>
      </w:r>
      <w:r w:rsidR="00C24CC3" w:rsidRPr="00B30C7D">
        <w:rPr>
          <w:rFonts w:ascii="Times New Roman" w:hAnsi="Times New Roman" w:cs="Times New Roman"/>
          <w:sz w:val="24"/>
          <w:szCs w:val="24"/>
        </w:rPr>
        <w:t>202</w:t>
      </w:r>
      <w:r w:rsidR="004F788A">
        <w:rPr>
          <w:rFonts w:ascii="Times New Roman" w:hAnsi="Times New Roman" w:cs="Times New Roman"/>
          <w:sz w:val="24"/>
          <w:szCs w:val="24"/>
        </w:rPr>
        <w:t>3</w:t>
      </w:r>
      <w:r w:rsidR="00C24CC3" w:rsidRPr="00B30C7D">
        <w:rPr>
          <w:rFonts w:ascii="Times New Roman" w:hAnsi="Times New Roman" w:cs="Times New Roman"/>
          <w:sz w:val="24"/>
          <w:szCs w:val="24"/>
        </w:rPr>
        <w:t xml:space="preserve"> yılı içerisinde t</w:t>
      </w:r>
      <w:r w:rsidR="0075637F" w:rsidRPr="00B30C7D">
        <w:rPr>
          <w:rFonts w:ascii="Times New Roman" w:hAnsi="Times New Roman" w:cs="Times New Roman"/>
          <w:sz w:val="24"/>
          <w:szCs w:val="24"/>
        </w:rPr>
        <w:t xml:space="preserve">oplamda </w:t>
      </w:r>
      <w:r w:rsidR="00223526">
        <w:rPr>
          <w:rFonts w:ascii="Times New Roman" w:hAnsi="Times New Roman" w:cs="Times New Roman"/>
          <w:sz w:val="24"/>
          <w:szCs w:val="24"/>
        </w:rPr>
        <w:t>134</w:t>
      </w:r>
      <w:r w:rsidR="0075637F" w:rsidRPr="00B30C7D">
        <w:rPr>
          <w:rFonts w:ascii="Times New Roman" w:hAnsi="Times New Roman" w:cs="Times New Roman"/>
          <w:sz w:val="24"/>
          <w:szCs w:val="24"/>
        </w:rPr>
        <w:t xml:space="preserve"> bina yangını</w:t>
      </w:r>
      <w:r w:rsidR="00C24CC3" w:rsidRPr="00B30C7D">
        <w:rPr>
          <w:rFonts w:ascii="Times New Roman" w:hAnsi="Times New Roman" w:cs="Times New Roman"/>
          <w:sz w:val="24"/>
          <w:szCs w:val="24"/>
        </w:rPr>
        <w:t xml:space="preserve"> meydana gelmiştir. Bunlardan </w:t>
      </w:r>
      <w:r w:rsidR="00223526">
        <w:rPr>
          <w:rFonts w:ascii="Times New Roman" w:hAnsi="Times New Roman" w:cs="Times New Roman"/>
          <w:sz w:val="24"/>
          <w:szCs w:val="24"/>
        </w:rPr>
        <w:t>82’si</w:t>
      </w:r>
      <w:r w:rsidR="00C24CC3" w:rsidRPr="00B30C7D">
        <w:rPr>
          <w:rFonts w:ascii="Times New Roman" w:hAnsi="Times New Roman" w:cs="Times New Roman"/>
          <w:sz w:val="24"/>
          <w:szCs w:val="24"/>
        </w:rPr>
        <w:t xml:space="preserve"> ev ve apartman dairesi, </w:t>
      </w:r>
      <w:r w:rsidR="00223526">
        <w:rPr>
          <w:rFonts w:ascii="Times New Roman" w:hAnsi="Times New Roman" w:cs="Times New Roman"/>
          <w:sz w:val="24"/>
          <w:szCs w:val="24"/>
        </w:rPr>
        <w:t>45</w:t>
      </w:r>
      <w:r w:rsidR="00246F00">
        <w:rPr>
          <w:rFonts w:ascii="Times New Roman" w:hAnsi="Times New Roman" w:cs="Times New Roman"/>
          <w:sz w:val="24"/>
          <w:szCs w:val="24"/>
        </w:rPr>
        <w:t>’</w:t>
      </w:r>
      <w:r w:rsidR="00223526">
        <w:rPr>
          <w:rFonts w:ascii="Times New Roman" w:hAnsi="Times New Roman" w:cs="Times New Roman"/>
          <w:sz w:val="24"/>
          <w:szCs w:val="24"/>
        </w:rPr>
        <w:t>i</w:t>
      </w:r>
      <w:r w:rsidR="00246F00">
        <w:rPr>
          <w:rFonts w:ascii="Times New Roman" w:hAnsi="Times New Roman" w:cs="Times New Roman"/>
          <w:sz w:val="24"/>
          <w:szCs w:val="24"/>
        </w:rPr>
        <w:t xml:space="preserve"> işyeri</w:t>
      </w:r>
      <w:r w:rsidR="00C24CC3" w:rsidRPr="00B30C7D">
        <w:rPr>
          <w:rFonts w:ascii="Times New Roman" w:hAnsi="Times New Roman" w:cs="Times New Roman"/>
          <w:sz w:val="24"/>
          <w:szCs w:val="24"/>
        </w:rPr>
        <w:t>,</w:t>
      </w:r>
      <w:r w:rsidR="00BD2ECA" w:rsidRPr="00BD2ECA">
        <w:rPr>
          <w:rFonts w:ascii="Times New Roman" w:hAnsi="Times New Roman" w:cs="Times New Roman"/>
          <w:sz w:val="24"/>
          <w:szCs w:val="24"/>
        </w:rPr>
        <w:t xml:space="preserve"> </w:t>
      </w:r>
      <w:r w:rsidR="00223526">
        <w:rPr>
          <w:rFonts w:ascii="Times New Roman" w:hAnsi="Times New Roman" w:cs="Times New Roman"/>
          <w:sz w:val="24"/>
          <w:szCs w:val="24"/>
        </w:rPr>
        <w:t>5’</w:t>
      </w:r>
      <w:r w:rsidR="00BD2ECA">
        <w:rPr>
          <w:rFonts w:ascii="Times New Roman" w:hAnsi="Times New Roman" w:cs="Times New Roman"/>
          <w:sz w:val="24"/>
          <w:szCs w:val="24"/>
        </w:rPr>
        <w:t>i fabrika</w:t>
      </w:r>
      <w:r w:rsidR="00C24CC3" w:rsidRPr="00B30C7D">
        <w:rPr>
          <w:rFonts w:ascii="Times New Roman" w:hAnsi="Times New Roman" w:cs="Times New Roman"/>
          <w:sz w:val="24"/>
          <w:szCs w:val="24"/>
        </w:rPr>
        <w:t xml:space="preserve"> </w:t>
      </w:r>
      <w:r w:rsidR="00BD2ECA">
        <w:rPr>
          <w:rFonts w:ascii="Times New Roman" w:hAnsi="Times New Roman" w:cs="Times New Roman"/>
          <w:sz w:val="24"/>
          <w:szCs w:val="24"/>
        </w:rPr>
        <w:t>1</w:t>
      </w:r>
      <w:r w:rsidR="00246F00">
        <w:rPr>
          <w:rFonts w:ascii="Times New Roman" w:hAnsi="Times New Roman" w:cs="Times New Roman"/>
          <w:sz w:val="24"/>
          <w:szCs w:val="24"/>
        </w:rPr>
        <w:t>’</w:t>
      </w:r>
      <w:r w:rsidR="00C64518">
        <w:rPr>
          <w:rFonts w:ascii="Times New Roman" w:hAnsi="Times New Roman" w:cs="Times New Roman"/>
          <w:sz w:val="24"/>
          <w:szCs w:val="24"/>
        </w:rPr>
        <w:t>i</w:t>
      </w:r>
      <w:r w:rsidR="00C24CC3" w:rsidRPr="00B30C7D">
        <w:rPr>
          <w:rFonts w:ascii="Times New Roman" w:hAnsi="Times New Roman" w:cs="Times New Roman"/>
          <w:sz w:val="24"/>
          <w:szCs w:val="24"/>
        </w:rPr>
        <w:t xml:space="preserve"> </w:t>
      </w:r>
      <w:r w:rsidR="00BD2ECA">
        <w:rPr>
          <w:rFonts w:ascii="Times New Roman" w:hAnsi="Times New Roman" w:cs="Times New Roman"/>
          <w:sz w:val="24"/>
          <w:szCs w:val="24"/>
        </w:rPr>
        <w:t xml:space="preserve">otel </w:t>
      </w:r>
      <w:r w:rsidR="00246F00">
        <w:rPr>
          <w:rFonts w:ascii="Times New Roman" w:hAnsi="Times New Roman" w:cs="Times New Roman"/>
          <w:sz w:val="24"/>
          <w:szCs w:val="24"/>
        </w:rPr>
        <w:t>ve</w:t>
      </w:r>
      <w:r w:rsidR="00C24CC3" w:rsidRPr="00B30C7D">
        <w:rPr>
          <w:rFonts w:ascii="Times New Roman" w:hAnsi="Times New Roman" w:cs="Times New Roman"/>
          <w:sz w:val="24"/>
          <w:szCs w:val="24"/>
        </w:rPr>
        <w:t xml:space="preserve"> </w:t>
      </w:r>
      <w:r w:rsidR="00246F00">
        <w:rPr>
          <w:rFonts w:ascii="Times New Roman" w:hAnsi="Times New Roman" w:cs="Times New Roman"/>
          <w:sz w:val="24"/>
          <w:szCs w:val="24"/>
        </w:rPr>
        <w:t>1’ide</w:t>
      </w:r>
      <w:r w:rsidR="00C24CC3" w:rsidRPr="00B30C7D">
        <w:rPr>
          <w:rFonts w:ascii="Times New Roman" w:hAnsi="Times New Roman" w:cs="Times New Roman"/>
          <w:sz w:val="24"/>
          <w:szCs w:val="24"/>
        </w:rPr>
        <w:t xml:space="preserve"> </w:t>
      </w:r>
      <w:r w:rsidR="00C24CC3" w:rsidRPr="0065087E">
        <w:rPr>
          <w:rFonts w:ascii="Times New Roman" w:hAnsi="Times New Roman" w:cs="Times New Roman"/>
          <w:color w:val="000000" w:themeColor="text1"/>
          <w:sz w:val="24"/>
          <w:szCs w:val="24"/>
        </w:rPr>
        <w:t>atölye</w:t>
      </w:r>
      <w:r w:rsidR="00246F00" w:rsidRPr="0065087E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C24CC3" w:rsidRPr="0065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7CDE" w:rsidRPr="0065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çıkmıştır. </w:t>
      </w:r>
      <w:r w:rsidR="00D3249B" w:rsidRPr="0065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yangınlardan </w:t>
      </w:r>
      <w:r w:rsidR="0065087E" w:rsidRPr="0065087E">
        <w:rPr>
          <w:rFonts w:ascii="Times New Roman" w:hAnsi="Times New Roman" w:cs="Times New Roman"/>
          <w:color w:val="000000" w:themeColor="text1"/>
          <w:sz w:val="24"/>
          <w:szCs w:val="24"/>
        </w:rPr>
        <w:t>59’u</w:t>
      </w:r>
      <w:r w:rsidR="00D3249B" w:rsidRPr="0065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3DC" w:rsidRPr="0065087E">
        <w:rPr>
          <w:rFonts w:ascii="Times New Roman" w:hAnsi="Times New Roman" w:cs="Times New Roman"/>
          <w:color w:val="000000" w:themeColor="text1"/>
          <w:sz w:val="24"/>
          <w:szCs w:val="24"/>
        </w:rPr>
        <w:t>elektrik kaynaklı,</w:t>
      </w:r>
      <w:r w:rsidR="0065087E" w:rsidRPr="0065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19’u sönmemiş sigara izmaritinden, 17’si faal ocak üzerinde unutulan yağın aşırı ısınması, </w:t>
      </w:r>
      <w:r w:rsidR="003703DC" w:rsidRPr="0065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087E" w:rsidRPr="0065087E">
        <w:rPr>
          <w:rFonts w:ascii="Times New Roman" w:hAnsi="Times New Roman" w:cs="Times New Roman"/>
          <w:color w:val="000000" w:themeColor="text1"/>
          <w:sz w:val="24"/>
          <w:szCs w:val="24"/>
        </w:rPr>
        <w:t>14’ü şömine ve soba kaynaklı, 8’i çocukların kibrit veya çakmakla oynaması, 7’si gaz kaçağı, 6’sı</w:t>
      </w:r>
      <w:r w:rsidR="00E92AFC" w:rsidRPr="0065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kişiler tarafından </w:t>
      </w:r>
      <w:r w:rsidR="00F333CA" w:rsidRPr="0065087E">
        <w:rPr>
          <w:rFonts w:ascii="Times New Roman" w:hAnsi="Times New Roman" w:cs="Times New Roman"/>
          <w:color w:val="000000" w:themeColor="text1"/>
          <w:sz w:val="24"/>
          <w:szCs w:val="24"/>
        </w:rPr>
        <w:t>kundaklanma</w:t>
      </w:r>
      <w:r w:rsidR="0065087E" w:rsidRPr="0065087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5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3’ü</w:t>
      </w:r>
      <w:r w:rsidR="0065087E" w:rsidRPr="00111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kimyasal reaksiyon</w:t>
      </w:r>
      <w:r w:rsidR="00D3249B" w:rsidRPr="0065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21C2" w:rsidRPr="0065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1’i </w:t>
      </w:r>
      <w:r w:rsidR="0065087E" w:rsidRPr="0065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ise </w:t>
      </w:r>
      <w:r w:rsidR="008921C2" w:rsidRPr="0065087E">
        <w:rPr>
          <w:rFonts w:ascii="Times New Roman" w:hAnsi="Times New Roman" w:cs="Times New Roman"/>
          <w:color w:val="000000" w:themeColor="text1"/>
          <w:sz w:val="24"/>
          <w:szCs w:val="24"/>
        </w:rPr>
        <w:t>güneş ışığının cam par</w:t>
      </w:r>
      <w:r w:rsidR="0065087E">
        <w:rPr>
          <w:rFonts w:ascii="Times New Roman" w:hAnsi="Times New Roman" w:cs="Times New Roman"/>
          <w:color w:val="000000" w:themeColor="text1"/>
          <w:sz w:val="24"/>
          <w:szCs w:val="24"/>
        </w:rPr>
        <w:t>çalarından geçerek yoğunlaşması sonucu çıkmıştır.</w:t>
      </w:r>
      <w:r w:rsidR="008921C2" w:rsidRPr="00650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054BC" w:rsidRPr="0062096C" w:rsidRDefault="00AA32CB" w:rsidP="00924F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2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Araç Yangınları: </w:t>
      </w:r>
      <w:r w:rsidR="004F788A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içerisinde toplamda </w:t>
      </w:r>
      <w:r w:rsidR="00BD2ECA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CC12D9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araç yangını meydana gelmiştir.</w:t>
      </w:r>
      <w:r w:rsidR="0043053A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 araçları</w:t>
      </w:r>
      <w:r w:rsidR="008C7C03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13E00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12D9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>81’</w:t>
      </w:r>
      <w:r w:rsidR="00213E00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>i seyir halinde</w:t>
      </w:r>
      <w:r w:rsidR="00CC12D9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48’i</w:t>
      </w:r>
      <w:r w:rsidR="00213E00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ise park halinde</w:t>
      </w:r>
      <w:r w:rsidR="0043053A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yken yangın çıkmıştır. </w:t>
      </w:r>
      <w:proofErr w:type="gramStart"/>
      <w:r w:rsidR="0043053A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r w:rsidR="00CE4A2F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yangınların </w:t>
      </w:r>
      <w:r w:rsidR="00BD2ECA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C12D9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3249B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’i </w:t>
      </w:r>
      <w:r w:rsidR="0043053A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>aracın elektrik sisteml</w:t>
      </w:r>
      <w:r w:rsidR="00D3249B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erinde oluşan kısa devreden, </w:t>
      </w:r>
      <w:r w:rsidR="00CC12D9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BD2ECA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>’si</w:t>
      </w:r>
      <w:r w:rsidR="00D3249B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053A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>araçtaki yakıt sızıntısından,</w:t>
      </w:r>
      <w:r w:rsid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6’sı kundaklama,</w:t>
      </w:r>
      <w:r w:rsidR="0043053A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12D9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>6’sı</w:t>
      </w:r>
      <w:r w:rsidR="00403651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aracın kaza yapması</w:t>
      </w:r>
      <w:r w:rsidR="006209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2096C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 </w:t>
      </w:r>
      <w:r w:rsidR="00CC12D9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>4’ü içilen sigaranın araç içerisine düşürülmesi 2’si</w:t>
      </w:r>
      <w:r w:rsid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12D9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sönmemiş kömürden 1’i </w:t>
      </w:r>
      <w:r w:rsidR="00AD4DDD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>araç içerisinde bulunan taşınabilir şarj aletinin aşırı ısıdan patlaması,</w:t>
      </w:r>
      <w:r w:rsid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053A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12D9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>1’i</w:t>
      </w:r>
      <w:r w:rsidR="0043053A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aracın egzozundan çıkan kıvılcım</w:t>
      </w:r>
      <w:r w:rsidR="00FA0795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>lar</w:t>
      </w:r>
      <w:r w:rsidR="0043053A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1’i aracın havai elektrik tellerine teması sonucu, 1’i ise aracın egzozundan çıkan kıvılcımlardan meydana gelmiştir.</w:t>
      </w:r>
      <w:proofErr w:type="gramEnd"/>
    </w:p>
    <w:p w:rsidR="009639C3" w:rsidRDefault="009639C3" w:rsidP="00924F97">
      <w:pPr>
        <w:jc w:val="both"/>
        <w:rPr>
          <w:rFonts w:ascii="Times New Roman" w:hAnsi="Times New Roman" w:cs="Times New Roman"/>
          <w:sz w:val="24"/>
          <w:szCs w:val="24"/>
        </w:rPr>
      </w:pPr>
      <w:r w:rsidRPr="00744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Elektrik Yangınları</w:t>
      </w:r>
      <w:r w:rsidR="000F47A1" w:rsidRPr="00744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(Elektrik Panoları</w:t>
      </w:r>
      <w:r w:rsidR="00EF4359" w:rsidRPr="00744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Yer Altı Kabloları, Sigorta Kutuları </w:t>
      </w:r>
      <w:proofErr w:type="spellStart"/>
      <w:r w:rsidR="00EF4359" w:rsidRPr="00744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vb</w:t>
      </w:r>
      <w:proofErr w:type="spellEnd"/>
      <w:r w:rsidR="00EF4359" w:rsidRPr="00744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744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744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4F788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445EF" w:rsidRPr="00744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içerisinde toplamda 54</w:t>
      </w:r>
      <w:r w:rsidRPr="00744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elektrik yangını meydana gelmiştir.</w:t>
      </w:r>
      <w:r w:rsidRPr="007445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44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Yangınların </w:t>
      </w:r>
      <w:r w:rsidR="007445EF" w:rsidRPr="007445EF">
        <w:rPr>
          <w:rFonts w:ascii="Times New Roman" w:hAnsi="Times New Roman" w:cs="Times New Roman"/>
          <w:color w:val="000000" w:themeColor="text1"/>
          <w:sz w:val="24"/>
          <w:szCs w:val="24"/>
        </w:rPr>
        <w:t>32’si</w:t>
      </w:r>
      <w:r w:rsidRPr="00744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7A1" w:rsidRPr="007445EF">
        <w:rPr>
          <w:rFonts w:ascii="Times New Roman" w:hAnsi="Times New Roman" w:cs="Times New Roman"/>
          <w:color w:val="000000" w:themeColor="text1"/>
          <w:sz w:val="24"/>
          <w:szCs w:val="24"/>
        </w:rPr>
        <w:t>oluşan kısa devreler</w:t>
      </w:r>
      <w:r w:rsidRPr="007445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C6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445EF" w:rsidRPr="007445EF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EF4359" w:rsidRPr="007445EF">
        <w:rPr>
          <w:rFonts w:ascii="Times New Roman" w:hAnsi="Times New Roman" w:cs="Times New Roman"/>
          <w:color w:val="000000" w:themeColor="text1"/>
          <w:sz w:val="24"/>
          <w:szCs w:val="24"/>
        </w:rPr>
        <w:t>’ü</w:t>
      </w:r>
      <w:r w:rsidRPr="00744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359" w:rsidRPr="007445EF">
        <w:rPr>
          <w:rFonts w:ascii="Times New Roman" w:hAnsi="Times New Roman" w:cs="Times New Roman"/>
          <w:color w:val="000000" w:themeColor="text1"/>
          <w:sz w:val="24"/>
          <w:szCs w:val="24"/>
        </w:rPr>
        <w:t>aşırı yüklenme</w:t>
      </w:r>
      <w:r w:rsidRPr="00744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sonucu, </w:t>
      </w:r>
      <w:r w:rsidR="007445EF" w:rsidRPr="007445EF">
        <w:rPr>
          <w:rFonts w:ascii="Times New Roman" w:hAnsi="Times New Roman" w:cs="Times New Roman"/>
          <w:color w:val="000000" w:themeColor="text1"/>
          <w:sz w:val="24"/>
          <w:szCs w:val="24"/>
        </w:rPr>
        <w:t>2’si</w:t>
      </w:r>
      <w:r w:rsidRPr="00744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havai elektrik telleri,</w:t>
      </w:r>
      <w:r w:rsidRPr="005C6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F4359" w:rsidRPr="00413DA4">
        <w:rPr>
          <w:rFonts w:ascii="Times New Roman" w:hAnsi="Times New Roman" w:cs="Times New Roman"/>
          <w:color w:val="000000" w:themeColor="text1"/>
          <w:sz w:val="24"/>
          <w:szCs w:val="24"/>
        </w:rPr>
        <w:t>1’</w:t>
      </w:r>
      <w:r w:rsidRPr="00413D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413DA4" w:rsidRPr="00413DA4">
        <w:rPr>
          <w:rFonts w:ascii="Times New Roman" w:hAnsi="Times New Roman" w:cs="Times New Roman"/>
          <w:color w:val="000000" w:themeColor="text1"/>
          <w:sz w:val="24"/>
          <w:szCs w:val="24"/>
        </w:rPr>
        <w:t>aşırı ısınma sonucu,</w:t>
      </w:r>
      <w:r w:rsidRPr="005C6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44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1’i </w:t>
      </w:r>
      <w:r w:rsidR="00EF4359" w:rsidRPr="007445EF">
        <w:rPr>
          <w:rFonts w:ascii="Times New Roman" w:hAnsi="Times New Roman" w:cs="Times New Roman"/>
          <w:color w:val="000000" w:themeColor="text1"/>
          <w:sz w:val="24"/>
          <w:szCs w:val="24"/>
        </w:rPr>
        <w:t>elektrik trafosu</w:t>
      </w:r>
      <w:r w:rsidRPr="007445EF">
        <w:rPr>
          <w:rFonts w:ascii="Times New Roman" w:hAnsi="Times New Roman" w:cs="Times New Roman"/>
          <w:color w:val="000000" w:themeColor="text1"/>
          <w:sz w:val="24"/>
          <w:szCs w:val="24"/>
        </w:rPr>
        <w:t>, 1’i yıldırım düşmesiyle</w:t>
      </w:r>
      <w:r w:rsidR="00EF4359" w:rsidRPr="00744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çıkmıştır.</w:t>
      </w:r>
    </w:p>
    <w:p w:rsidR="00C62C33" w:rsidRPr="00BB72C6" w:rsidRDefault="00C62C33" w:rsidP="00924F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2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Çöplük Alan Yangınları: </w:t>
      </w:r>
      <w:r w:rsidR="00BB72C6" w:rsidRPr="00BB72C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4F788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B72C6" w:rsidRPr="00BB7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içerisinde toplamda 9</w:t>
      </w:r>
      <w:r w:rsidRPr="00BB7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çöplük alan yangını meydana gelmiştir. Bu yangınların </w:t>
      </w:r>
      <w:r w:rsidR="00BB72C6" w:rsidRPr="00BB72C6">
        <w:rPr>
          <w:rFonts w:ascii="Times New Roman" w:hAnsi="Times New Roman" w:cs="Times New Roman"/>
          <w:color w:val="000000" w:themeColor="text1"/>
          <w:sz w:val="24"/>
          <w:szCs w:val="24"/>
        </w:rPr>
        <w:t>7’si</w:t>
      </w:r>
      <w:r w:rsidRPr="00BB7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bilinmeyen kişi ve</w:t>
      </w:r>
      <w:r w:rsidR="00BB72C6" w:rsidRPr="00BB72C6">
        <w:rPr>
          <w:rFonts w:ascii="Times New Roman" w:hAnsi="Times New Roman" w:cs="Times New Roman"/>
          <w:color w:val="000000" w:themeColor="text1"/>
          <w:sz w:val="24"/>
          <w:szCs w:val="24"/>
        </w:rPr>
        <w:t>ya kişiler tarafından yakılma, 2</w:t>
      </w:r>
      <w:r w:rsidRPr="00BB72C6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BB72C6" w:rsidRPr="00BB72C6">
        <w:rPr>
          <w:rFonts w:ascii="Times New Roman" w:hAnsi="Times New Roman" w:cs="Times New Roman"/>
          <w:color w:val="000000" w:themeColor="text1"/>
          <w:sz w:val="24"/>
          <w:szCs w:val="24"/>
        </w:rPr>
        <w:t>si biriken metan gazının sıkışmasından meydana gelmiştir.</w:t>
      </w:r>
    </w:p>
    <w:p w:rsidR="00662476" w:rsidRPr="00BB72C6" w:rsidRDefault="00662476" w:rsidP="00924F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2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Çöp Bidonu Yangınları: </w:t>
      </w:r>
      <w:r w:rsidR="004F788A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BB72C6" w:rsidRPr="00BB7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içerisinde toplamda 17</w:t>
      </w:r>
      <w:r w:rsidRPr="00BB7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çöp bidonu yangını meyd</w:t>
      </w:r>
      <w:r w:rsidR="00BB72C6" w:rsidRPr="00BB72C6">
        <w:rPr>
          <w:rFonts w:ascii="Times New Roman" w:hAnsi="Times New Roman" w:cs="Times New Roman"/>
          <w:color w:val="000000" w:themeColor="text1"/>
          <w:sz w:val="24"/>
          <w:szCs w:val="24"/>
        </w:rPr>
        <w:t>ana gelmiştir. Bu yangınların 14’ü sönmemiş sigara izmaritinden, 2’si çakmak ile 1’</w:t>
      </w:r>
      <w:r w:rsidRPr="00BB72C6">
        <w:rPr>
          <w:rFonts w:ascii="Times New Roman" w:hAnsi="Times New Roman" w:cs="Times New Roman"/>
          <w:color w:val="000000" w:themeColor="text1"/>
          <w:sz w:val="24"/>
          <w:szCs w:val="24"/>
        </w:rPr>
        <w:t>i ise kişiler tarafından kasten yakılmasından dolayı çıkmıştır.</w:t>
      </w:r>
    </w:p>
    <w:p w:rsidR="00EE05D4" w:rsidRDefault="00EE05D4" w:rsidP="00924F9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7B9" w:rsidRPr="00074062" w:rsidRDefault="006054BC" w:rsidP="00924F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40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Orman Yangınları: </w:t>
      </w:r>
      <w:r w:rsidR="004F788A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içerisinde toplamda </w:t>
      </w:r>
      <w:r w:rsidR="00074062"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orman yangını meydana gelmiştir. </w:t>
      </w:r>
      <w:r w:rsidR="00C64518"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Yangınlar </w:t>
      </w:r>
      <w:r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sonucu </w:t>
      </w:r>
      <w:r w:rsidR="00074062"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>612</w:t>
      </w:r>
      <w:r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0E0C"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>dönüm</w:t>
      </w:r>
      <w:r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orman</w:t>
      </w:r>
      <w:r w:rsidR="00C64518"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>lık</w:t>
      </w:r>
      <w:r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alan yanmıştır.</w:t>
      </w:r>
      <w:r w:rsidR="008A211A"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 yangınların </w:t>
      </w:r>
      <w:r w:rsidR="00074062"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>2’si</w:t>
      </w:r>
      <w:r w:rsidR="008A211A"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5669"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>havai elektrik tellerinden düşen kıvılcım</w:t>
      </w:r>
      <w:r w:rsidR="00FA0795"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>lar</w:t>
      </w:r>
      <w:r w:rsidR="00975669"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dan, </w:t>
      </w:r>
      <w:r w:rsidR="00752055"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74062"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>’i</w:t>
      </w:r>
      <w:r w:rsidR="00C64518"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ise</w:t>
      </w:r>
      <w:r w:rsidR="008A211A"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4062"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>orta gerilim şebekesinin aşırı akım çekiminden dolayı meydana gelmiştir</w:t>
      </w:r>
      <w:r w:rsidR="00975669" w:rsidRPr="000740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437B9" w:rsidRPr="00B30C7D" w:rsidRDefault="00A437B9" w:rsidP="00924F97">
      <w:pPr>
        <w:jc w:val="both"/>
        <w:rPr>
          <w:rFonts w:ascii="Times New Roman" w:hAnsi="Times New Roman" w:cs="Times New Roman"/>
          <w:sz w:val="24"/>
          <w:szCs w:val="24"/>
        </w:rPr>
      </w:pPr>
      <w:r w:rsidRPr="00B30C7D">
        <w:rPr>
          <w:rFonts w:ascii="Times New Roman" w:hAnsi="Times New Roman" w:cs="Times New Roman"/>
          <w:b/>
          <w:sz w:val="24"/>
          <w:szCs w:val="24"/>
        </w:rPr>
        <w:t xml:space="preserve">LPG Yangınları: </w:t>
      </w:r>
      <w:r w:rsidR="004F788A">
        <w:rPr>
          <w:rFonts w:ascii="Times New Roman" w:hAnsi="Times New Roman" w:cs="Times New Roman"/>
          <w:sz w:val="24"/>
          <w:szCs w:val="24"/>
        </w:rPr>
        <w:t>2023</w:t>
      </w:r>
      <w:r w:rsidRPr="00B30C7D">
        <w:rPr>
          <w:rFonts w:ascii="Times New Roman" w:hAnsi="Times New Roman" w:cs="Times New Roman"/>
          <w:sz w:val="24"/>
          <w:szCs w:val="24"/>
        </w:rPr>
        <w:t xml:space="preserve"> yılı içerisinde toplamda </w:t>
      </w:r>
      <w:r w:rsidR="005C6FEB">
        <w:rPr>
          <w:rFonts w:ascii="Times New Roman" w:hAnsi="Times New Roman" w:cs="Times New Roman"/>
          <w:sz w:val="24"/>
          <w:szCs w:val="24"/>
        </w:rPr>
        <w:t>4</w:t>
      </w:r>
      <w:r w:rsidRPr="00B30C7D">
        <w:rPr>
          <w:rFonts w:ascii="Times New Roman" w:hAnsi="Times New Roman" w:cs="Times New Roman"/>
          <w:sz w:val="24"/>
          <w:szCs w:val="24"/>
        </w:rPr>
        <w:t xml:space="preserve"> </w:t>
      </w:r>
      <w:r w:rsidR="00AE6AE6" w:rsidRPr="00B30C7D">
        <w:rPr>
          <w:rFonts w:ascii="Times New Roman" w:hAnsi="Times New Roman" w:cs="Times New Roman"/>
          <w:sz w:val="24"/>
          <w:szCs w:val="24"/>
        </w:rPr>
        <w:t>LPG</w:t>
      </w:r>
      <w:r w:rsidRPr="00B30C7D">
        <w:rPr>
          <w:rFonts w:ascii="Times New Roman" w:hAnsi="Times New Roman" w:cs="Times New Roman"/>
          <w:sz w:val="24"/>
          <w:szCs w:val="24"/>
        </w:rPr>
        <w:t xml:space="preserve"> yangını meydana gelmiştir.</w:t>
      </w:r>
      <w:r w:rsidR="008A211A">
        <w:rPr>
          <w:rFonts w:ascii="Times New Roman" w:hAnsi="Times New Roman" w:cs="Times New Roman"/>
          <w:sz w:val="24"/>
          <w:szCs w:val="24"/>
        </w:rPr>
        <w:t xml:space="preserve"> Bu yangınların </w:t>
      </w:r>
      <w:r w:rsidR="005C6FEB">
        <w:rPr>
          <w:rFonts w:ascii="Times New Roman" w:hAnsi="Times New Roman" w:cs="Times New Roman"/>
          <w:sz w:val="24"/>
          <w:szCs w:val="24"/>
        </w:rPr>
        <w:t>4</w:t>
      </w:r>
      <w:r w:rsidR="008A211A">
        <w:rPr>
          <w:rFonts w:ascii="Times New Roman" w:hAnsi="Times New Roman" w:cs="Times New Roman"/>
          <w:sz w:val="24"/>
          <w:szCs w:val="24"/>
        </w:rPr>
        <w:t>’</w:t>
      </w:r>
      <w:r w:rsidR="005C6FEB">
        <w:rPr>
          <w:rFonts w:ascii="Times New Roman" w:hAnsi="Times New Roman" w:cs="Times New Roman"/>
          <w:sz w:val="24"/>
          <w:szCs w:val="24"/>
        </w:rPr>
        <w:t>ü</w:t>
      </w:r>
      <w:r w:rsidR="00752055">
        <w:rPr>
          <w:rFonts w:ascii="Times New Roman" w:hAnsi="Times New Roman" w:cs="Times New Roman"/>
          <w:sz w:val="24"/>
          <w:szCs w:val="24"/>
        </w:rPr>
        <w:t xml:space="preserve"> de gaz kaçağından</w:t>
      </w:r>
      <w:r w:rsidR="008A211A">
        <w:rPr>
          <w:rFonts w:ascii="Times New Roman" w:hAnsi="Times New Roman" w:cs="Times New Roman"/>
          <w:sz w:val="24"/>
          <w:szCs w:val="24"/>
        </w:rPr>
        <w:t xml:space="preserve"> </w:t>
      </w:r>
      <w:r w:rsidR="00493D8B" w:rsidRPr="00B30C7D">
        <w:rPr>
          <w:rFonts w:ascii="Times New Roman" w:hAnsi="Times New Roman" w:cs="Times New Roman"/>
          <w:sz w:val="24"/>
          <w:szCs w:val="24"/>
        </w:rPr>
        <w:t>çıkmıştır.</w:t>
      </w:r>
    </w:p>
    <w:p w:rsidR="00A36B58" w:rsidRPr="00BD7531" w:rsidRDefault="004F48A9" w:rsidP="00EE05D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1483995</wp:posOffset>
                </wp:positionV>
                <wp:extent cx="4686300" cy="59055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0D0" w:rsidRPr="00FE7776" w:rsidRDefault="007640D0" w:rsidP="001468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E7776">
                              <w:rPr>
                                <w:b/>
                                <w:color w:val="000000" w:themeColor="text1"/>
                              </w:rPr>
                              <w:t>PGM-İTFAİYE MÜDÜRLÜĞÜ</w:t>
                            </w:r>
                          </w:p>
                          <w:p w:rsidR="007640D0" w:rsidRPr="00FE7776" w:rsidRDefault="004F788A" w:rsidP="001468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2023</w:t>
                            </w:r>
                            <w:r w:rsidR="007640D0" w:rsidRPr="00FE7776">
                              <w:rPr>
                                <w:b/>
                                <w:color w:val="000000" w:themeColor="text1"/>
                              </w:rPr>
                              <w:t xml:space="preserve"> YILINDA MEYDANA GELEN YANGINLARIN</w:t>
                            </w:r>
                          </w:p>
                          <w:p w:rsidR="007640D0" w:rsidRPr="00FE7776" w:rsidRDefault="007640D0" w:rsidP="001468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E7776">
                              <w:rPr>
                                <w:b/>
                                <w:color w:val="000000" w:themeColor="text1"/>
                              </w:rPr>
                              <w:t>BÖLGELERE GÖRE SAYISI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86.75pt;margin-top:116.85pt;width:369pt;height:4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3sLgIAAEkEAAAOAAAAZHJzL2Uyb0RvYy54bWysVFFv0zAQfkfiP1h+p0lD07VR02l0DCE2&#10;QBr8AMdxEgvbF2y3yfbrOTtdKeUNkQfL5zt/vvu+u2yuR63IQVgnwZR0PkspEYZDLU1b0u/f7t6s&#10;KHGemZopMKKkT8LR6+3rV5uhL0QGHahaWIIgxhVDX9LO+75IEsc7oZmbQS8MOhuwmnk0bZvUlg2I&#10;rlWSpekyGcDWvQUunMPT28lJtxG/aQT3X5rGCU9USTE3H1cb1yqsyXbDitayvpP8mAb7hyw0kwYf&#10;PUHdMs/I3sq/oLTkFhw0fsZBJ9A0kotYA1YzTy+qeexYL2ItSI7rTzS5/wfLPx++WiLrkmbzK0oM&#10;0yjSg/DSkE97v3d7kgWOht4VGPrYY7Af38GIWsd6XX8P/IcjBnYdM624sRaGTrAac5yHm8nZ1QnH&#10;BZBqeIAan2J7DxFobKwOBCIlBNFRq6eTPmL0hOPhYrlavk3RxdGXr9M8jwImrHi53VvnPwjQJGxK&#10;alH/iM4O986HbFjxEhIec6BkfSeVikboObFTlhwYdkvVTvlfRClDhpKu8yyf6v8DwbbV6X4av0jB&#10;BYSWHnteSV3S1SmIFYG196aOHemZVNMeM1bmSGNgbuLQj9V4lKWC+gkJtTD1Ns4ibjqwz5QM2Ncl&#10;dT/3zApK1EeDoqzni0UYhGgs8qsMDXvuqc49zHCEKqmnZNrufByewJeBGxSvkZHXoPKUyTFX7NdI&#10;93G2wkCc2zHq9x9g+wsAAP//AwBQSwMEFAAGAAgAAAAhAMG0N93eAAAACwEAAA8AAABkcnMvZG93&#10;bnJldi54bWxMj8tOwzAQRfdI/IM1SOyo81AbmsapKIgPoGEBu3HsJhGxHWw3DX/PsKLLO3N050y1&#10;X8zIZu3D4KyAdJUA07Z1arCdgPfm9eERWIhoFY7OagE/OsC+vr2psFTuYt/0fIwdoxIbShTQxziV&#10;nIe21wbDyk3a0u7kvMFI0XdcebxQuRl5liQbbnCwdKHHST/3uv06no0A+ZIOhw+Uh8Yb2XyuEWe1&#10;/Rbi/m552gGLeon/MPzpkzrU5CTd2arARspFviZUQJbnBTAitmlKEykgzzYF8Lri1z/UvwAAAP//&#10;AwBQSwECLQAUAAYACAAAACEAtoM4kv4AAADhAQAAEwAAAAAAAAAAAAAAAAAAAAAAW0NvbnRlbnRf&#10;VHlwZXNdLnhtbFBLAQItABQABgAIAAAAIQA4/SH/1gAAAJQBAAALAAAAAAAAAAAAAAAAAC8BAABf&#10;cmVscy8ucmVsc1BLAQItABQABgAIAAAAIQCGnG3sLgIAAEkEAAAOAAAAAAAAAAAAAAAAAC4CAABk&#10;cnMvZTJvRG9jLnhtbFBLAQItABQABgAIAAAAIQDBtDfd3gAAAAsBAAAPAAAAAAAAAAAAAAAAAIgE&#10;AABkcnMvZG93bnJldi54bWxQSwUGAAAAAAQABADzAAAAkwUAAAAA&#10;" fillcolor="white [3212]">
                <v:textbox>
                  <w:txbxContent>
                    <w:p w:rsidR="007640D0" w:rsidRPr="00FE7776" w:rsidRDefault="007640D0" w:rsidP="0014682D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E7776">
                        <w:rPr>
                          <w:b/>
                          <w:color w:val="000000" w:themeColor="text1"/>
                        </w:rPr>
                        <w:t>PGM-İTFAİYE MÜDÜRLÜĞÜ</w:t>
                      </w:r>
                    </w:p>
                    <w:p w:rsidR="007640D0" w:rsidRPr="00FE7776" w:rsidRDefault="004F788A" w:rsidP="0014682D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2023</w:t>
                      </w:r>
                      <w:r w:rsidR="007640D0" w:rsidRPr="00FE7776">
                        <w:rPr>
                          <w:b/>
                          <w:color w:val="000000" w:themeColor="text1"/>
                        </w:rPr>
                        <w:t xml:space="preserve"> YILINDA MEYDANA GELEN YANGINLARIN</w:t>
                      </w:r>
                    </w:p>
                    <w:p w:rsidR="007640D0" w:rsidRPr="00FE7776" w:rsidRDefault="007640D0" w:rsidP="0014682D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E7776">
                        <w:rPr>
                          <w:b/>
                          <w:color w:val="000000" w:themeColor="text1"/>
                        </w:rPr>
                        <w:t>BÖLGELERE GÖRE SAYISI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7A68" w:rsidRPr="00B30C7D">
        <w:rPr>
          <w:rFonts w:ascii="Times New Roman" w:hAnsi="Times New Roman" w:cs="Times New Roman"/>
          <w:b/>
          <w:sz w:val="24"/>
          <w:szCs w:val="24"/>
        </w:rPr>
        <w:t>Diğer Yangınlar</w:t>
      </w:r>
      <w:r w:rsidR="007071FF" w:rsidRPr="00B30C7D">
        <w:rPr>
          <w:rFonts w:ascii="Times New Roman" w:hAnsi="Times New Roman" w:cs="Times New Roman"/>
          <w:b/>
          <w:sz w:val="24"/>
          <w:szCs w:val="24"/>
        </w:rPr>
        <w:t xml:space="preserve"> (Baca, Deniz Aracı, Barınak</w:t>
      </w:r>
      <w:r w:rsidR="005067C8">
        <w:rPr>
          <w:rFonts w:ascii="Times New Roman" w:hAnsi="Times New Roman" w:cs="Times New Roman"/>
          <w:b/>
          <w:sz w:val="24"/>
          <w:szCs w:val="24"/>
        </w:rPr>
        <w:t>, vb.</w:t>
      </w:r>
      <w:r w:rsidR="007071FF" w:rsidRPr="00B30C7D">
        <w:rPr>
          <w:rFonts w:ascii="Times New Roman" w:hAnsi="Times New Roman" w:cs="Times New Roman"/>
          <w:b/>
          <w:sz w:val="24"/>
          <w:szCs w:val="24"/>
        </w:rPr>
        <w:t>)</w:t>
      </w:r>
      <w:r w:rsidR="00127A68" w:rsidRPr="00B30C7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F788A">
        <w:rPr>
          <w:rFonts w:ascii="Times New Roman" w:hAnsi="Times New Roman" w:cs="Times New Roman"/>
          <w:sz w:val="24"/>
          <w:szCs w:val="24"/>
        </w:rPr>
        <w:t>2023</w:t>
      </w:r>
      <w:r w:rsidR="00127A68" w:rsidRPr="00B30C7D">
        <w:rPr>
          <w:rFonts w:ascii="Times New Roman" w:hAnsi="Times New Roman" w:cs="Times New Roman"/>
          <w:sz w:val="24"/>
          <w:szCs w:val="24"/>
        </w:rPr>
        <w:t xml:space="preserve"> yılı içerisinde </w:t>
      </w:r>
      <w:r w:rsidR="00074062">
        <w:rPr>
          <w:rFonts w:ascii="Times New Roman" w:hAnsi="Times New Roman" w:cs="Times New Roman"/>
          <w:sz w:val="24"/>
          <w:szCs w:val="24"/>
        </w:rPr>
        <w:t>33</w:t>
      </w:r>
      <w:r w:rsidR="00C31FE6">
        <w:rPr>
          <w:rFonts w:ascii="Times New Roman" w:hAnsi="Times New Roman" w:cs="Times New Roman"/>
          <w:sz w:val="24"/>
          <w:szCs w:val="24"/>
        </w:rPr>
        <w:t xml:space="preserve"> adet</w:t>
      </w:r>
      <w:r w:rsidR="00127A68" w:rsidRPr="00B30C7D">
        <w:rPr>
          <w:rFonts w:ascii="Times New Roman" w:hAnsi="Times New Roman" w:cs="Times New Roman"/>
          <w:sz w:val="24"/>
          <w:szCs w:val="24"/>
        </w:rPr>
        <w:t xml:space="preserve"> diğer yangınlar meydana gelmiştir. </w:t>
      </w:r>
      <w:r w:rsidR="00127A68" w:rsidRPr="000E5B86">
        <w:rPr>
          <w:rFonts w:ascii="Times New Roman" w:hAnsi="Times New Roman" w:cs="Times New Roman"/>
          <w:color w:val="000000" w:themeColor="text1"/>
          <w:sz w:val="24"/>
          <w:szCs w:val="24"/>
        </w:rPr>
        <w:t>Bu yangınların</w:t>
      </w:r>
      <w:r w:rsidR="000E5B86" w:rsidRPr="000E5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5B86">
        <w:rPr>
          <w:rFonts w:ascii="Times New Roman" w:hAnsi="Times New Roman" w:cs="Times New Roman"/>
          <w:color w:val="000000" w:themeColor="text1"/>
          <w:sz w:val="24"/>
          <w:szCs w:val="24"/>
        </w:rPr>
        <w:t>9’u sigara izmaritin</w:t>
      </w:r>
      <w:r w:rsidR="00855671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074062" w:rsidRPr="000E5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söndürülmeden atılması</w:t>
      </w:r>
      <w:r w:rsidR="000E5B86" w:rsidRPr="000E5B8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E5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6’sı kundaklama,</w:t>
      </w:r>
      <w:r w:rsidR="00127A68" w:rsidRPr="000E5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4062" w:rsidRPr="000E5B86">
        <w:rPr>
          <w:rFonts w:ascii="Times New Roman" w:hAnsi="Times New Roman" w:cs="Times New Roman"/>
          <w:color w:val="000000" w:themeColor="text1"/>
          <w:sz w:val="24"/>
          <w:szCs w:val="24"/>
        </w:rPr>
        <w:t>6’sı</w:t>
      </w:r>
      <w:r w:rsidR="008F7349" w:rsidRPr="000E5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baca içerisinde biriken tortular,</w:t>
      </w:r>
      <w:r w:rsidR="000E5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5B86" w:rsidRPr="000E5B86">
        <w:rPr>
          <w:rFonts w:ascii="Times New Roman" w:hAnsi="Times New Roman" w:cs="Times New Roman"/>
          <w:color w:val="000000" w:themeColor="text1"/>
          <w:sz w:val="24"/>
          <w:szCs w:val="24"/>
        </w:rPr>
        <w:t>3’ü kişi veya kişiler tarafından yakılma,</w:t>
      </w:r>
      <w:r w:rsidR="000E5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5B86" w:rsidRPr="000E5B86">
        <w:rPr>
          <w:rFonts w:ascii="Times New Roman" w:hAnsi="Times New Roman" w:cs="Times New Roman"/>
          <w:color w:val="000000" w:themeColor="text1"/>
          <w:sz w:val="24"/>
          <w:szCs w:val="24"/>
        </w:rPr>
        <w:t>2’si havai elektrik tellerinden çıkan kıvılcımlar</w:t>
      </w:r>
      <w:r w:rsidR="000E5B86">
        <w:rPr>
          <w:rFonts w:ascii="Times New Roman" w:hAnsi="Times New Roman" w:cs="Times New Roman"/>
          <w:color w:val="000000" w:themeColor="text1"/>
          <w:sz w:val="24"/>
          <w:szCs w:val="24"/>
        </w:rPr>
        <w:t>, 2</w:t>
      </w:r>
      <w:r w:rsidR="000E5B86" w:rsidRPr="000E5B86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0E5B86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r w:rsidR="000E5B86" w:rsidRPr="000E5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elektriksel, 1’i</w:t>
      </w:r>
      <w:r w:rsidR="00E0276A" w:rsidRPr="000E5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sönmemiş kömürlerin yanıcı maddelerin üzerine dökülmesi,</w:t>
      </w:r>
      <w:r w:rsidR="00217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276A" w:rsidRPr="00217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1’i kimyasal reaksiyon sonucu, 1’i ise </w:t>
      </w:r>
      <w:r w:rsidR="002177B5" w:rsidRPr="002177B5">
        <w:rPr>
          <w:rFonts w:ascii="Times New Roman" w:hAnsi="Times New Roman" w:cs="Times New Roman"/>
          <w:color w:val="000000" w:themeColor="text1"/>
          <w:sz w:val="24"/>
          <w:szCs w:val="24"/>
        </w:rPr>
        <w:t>ısıya maruz kalan borunun alevlenmesinden meydana gelmiştir</w:t>
      </w:r>
      <w:r w:rsidR="00491358" w:rsidRPr="002177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682D" w:rsidRDefault="0014682D" w:rsidP="0014682D">
      <w:pPr>
        <w:jc w:val="center"/>
      </w:pPr>
    </w:p>
    <w:p w:rsidR="009639C3" w:rsidRPr="009639C3" w:rsidRDefault="009639C3" w:rsidP="009639C3"/>
    <w:p w:rsidR="0014682D" w:rsidRDefault="0014682D" w:rsidP="0014682D">
      <w:pPr>
        <w:jc w:val="center"/>
      </w:pPr>
      <w:r w:rsidRPr="00293D58">
        <w:rPr>
          <w:noProof/>
          <w:shd w:val="clear" w:color="auto" w:fill="FF0000"/>
          <w:lang w:eastAsia="tr-TR"/>
        </w:rPr>
        <w:drawing>
          <wp:inline distT="0" distB="0" distL="0" distR="0">
            <wp:extent cx="5248275" cy="2152650"/>
            <wp:effectExtent l="19050" t="0" r="9525" b="0"/>
            <wp:docPr id="7" name="Grafi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4682D" w:rsidRDefault="004F48A9" w:rsidP="0014682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154940</wp:posOffset>
                </wp:positionV>
                <wp:extent cx="4999355" cy="619125"/>
                <wp:effectExtent l="0" t="0" r="0" b="9525"/>
                <wp:wrapSquare wrapText="bothSides"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935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0D0" w:rsidRPr="00FE7776" w:rsidRDefault="007640D0" w:rsidP="001468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E7776">
                              <w:rPr>
                                <w:b/>
                              </w:rPr>
                              <w:t>PGM-İTFAİYE MÜDÜRLÜĞÜ</w:t>
                            </w:r>
                          </w:p>
                          <w:p w:rsidR="007640D0" w:rsidRDefault="007640D0" w:rsidP="001468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E7776">
                              <w:rPr>
                                <w:b/>
                              </w:rPr>
                              <w:t>202</w:t>
                            </w:r>
                            <w:r w:rsidR="004F788A">
                              <w:rPr>
                                <w:b/>
                              </w:rPr>
                              <w:t>3</w:t>
                            </w:r>
                            <w:r w:rsidRPr="00FE7776">
                              <w:rPr>
                                <w:b/>
                              </w:rPr>
                              <w:t xml:space="preserve"> YILINDA MEYDANA GELEN YANGINLARIN</w:t>
                            </w:r>
                          </w:p>
                          <w:p w:rsidR="007640D0" w:rsidRPr="00FE7776" w:rsidRDefault="007640D0" w:rsidP="001468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E7776">
                              <w:rPr>
                                <w:b/>
                              </w:rPr>
                              <w:t xml:space="preserve">BÖLGELERE GÖRE </w:t>
                            </w:r>
                            <w:r>
                              <w:rPr>
                                <w:b/>
                              </w:rPr>
                              <w:t>DAĞILIMI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2.1pt;margin-top:12.2pt;width:393.65pt;height:4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OMKAIAAE8EAAAOAAAAZHJzL2Uyb0RvYy54bWysVF+P0zAMf0fiO0R5Z13HdlyrdadjxxDi&#10;DpAOPkCapmtEEockXXt8epx0txt/xAOiD5EdOz/bP9tdX41akYNwXoKpaD6bUyIMh0aafUW/fN69&#10;uKTEB2YapsCIij4IT682z5+tB1uKBXSgGuEIghhfDraiXQi2zDLPO6GZn4EVBo0tOM0Cqm6fNY4N&#10;iK5VtpjPL7IBXGMdcOE93t5MRrpJ+G0rePjYtl4EoiqKuYV0unTW8cw2a1buHbOd5Mc02D9koZk0&#10;GPQEdcMCI72Tv0FpyR14aMOMg86gbSUXqQasJp//Us19x6xItSA53p5o8v8Pln84fHJENhUtKDFM&#10;Y4vuRJCGvO9D73uyiAwN1pfoeG/RNYyvYcROp2q9vQX+1RMD246Zvbh2DoZOsAYzzOPL7OzphOMj&#10;SD3cQYOhWB8gAY2t05E+JIQgOnbq4dQdMQbC8XJZFMXL1YoSjraLvMgXqxSClY+vrfPhrQBNolBR&#10;h91P6Oxw60PMhpWPLjGYByWbnVQqKW5fb5UjB4aTskvfEf0nN2XIgFytMPbfIebp+xOElgFHXkld&#10;0cuTEysjbW9MkwYyMKkmGVNW5shjpG4iMYz1mJqWSI4c19A8ILEOpgnHjUShA/edkgGnu6L+W8+c&#10;oES9M9icIl8u4zokZbl6tUDFnVvqcwszHKEqGiiZxG1IKxQZMHCNTWxl4vcpk2PKOLWJ9uOGxbU4&#10;15PX039g8wMAAP//AwBQSwMEFAAGAAgAAAAhABSuuR3fAAAACgEAAA8AAABkcnMvZG93bnJldi54&#10;bWxMj8FOwzAQRO9I/IO1SFwQdRJCaUKcCiGB4AYFwdWNt0lEvA62m4a/Z3uC42ieZt9W69kOYkIf&#10;ekcK0kUCAqlxpqdWwfvbw+UKRIiajB4coYIfDLCuT08qXRp3oFecNrEVPEKh1Aq6GMdSytB0aHVY&#10;uBGJu53zVkeOvpXG6wOP20FmSbKUVvfEFzo94n2HzddmbxWs8qfpMzxfvXw0y91QxIub6fHbK3V+&#10;Nt/dgog4xz8YjvqsDjU7bd2eTBAD5yzPGFWQ5TkIBoo0vQaxPTZpAbKu5P8X6l8AAAD//wMAUEsB&#10;Ai0AFAAGAAgAAAAhALaDOJL+AAAA4QEAABMAAAAAAAAAAAAAAAAAAAAAAFtDb250ZW50X1R5cGVz&#10;XS54bWxQSwECLQAUAAYACAAAACEAOP0h/9YAAACUAQAACwAAAAAAAAAAAAAAAAAvAQAAX3JlbHMv&#10;LnJlbHNQSwECLQAUAAYACAAAACEA5S0DjCgCAABPBAAADgAAAAAAAAAAAAAAAAAuAgAAZHJzL2Uy&#10;b0RvYy54bWxQSwECLQAUAAYACAAAACEAFK65Hd8AAAAKAQAADwAAAAAAAAAAAAAAAACCBAAAZHJz&#10;L2Rvd25yZXYueG1sUEsFBgAAAAAEAAQA8wAAAI4FAAAAAA==&#10;">
                <v:textbox>
                  <w:txbxContent>
                    <w:p w:rsidR="007640D0" w:rsidRPr="00FE7776" w:rsidRDefault="007640D0" w:rsidP="0014682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FE7776">
                        <w:rPr>
                          <w:b/>
                        </w:rPr>
                        <w:t>PGM-İTFAİYE MÜDÜRLÜĞÜ</w:t>
                      </w:r>
                    </w:p>
                    <w:p w:rsidR="007640D0" w:rsidRDefault="007640D0" w:rsidP="0014682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FE7776">
                        <w:rPr>
                          <w:b/>
                        </w:rPr>
                        <w:t>202</w:t>
                      </w:r>
                      <w:r w:rsidR="004F788A">
                        <w:rPr>
                          <w:b/>
                        </w:rPr>
                        <w:t>3</w:t>
                      </w:r>
                      <w:r w:rsidRPr="00FE7776">
                        <w:rPr>
                          <w:b/>
                        </w:rPr>
                        <w:t xml:space="preserve"> YILINDA MEYDANA GELEN YANGINLARIN</w:t>
                      </w:r>
                    </w:p>
                    <w:p w:rsidR="007640D0" w:rsidRPr="00FE7776" w:rsidRDefault="007640D0" w:rsidP="0014682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FE7776">
                        <w:rPr>
                          <w:b/>
                        </w:rPr>
                        <w:t xml:space="preserve">BÖLGELERE GÖRE </w:t>
                      </w:r>
                      <w:r>
                        <w:rPr>
                          <w:b/>
                        </w:rPr>
                        <w:t>DAĞILIMI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682D" w:rsidRDefault="0014682D" w:rsidP="0014682D">
      <w:pPr>
        <w:jc w:val="center"/>
      </w:pPr>
    </w:p>
    <w:p w:rsidR="00EE05D4" w:rsidRDefault="00EE05D4" w:rsidP="0014682D">
      <w:pPr>
        <w:jc w:val="center"/>
      </w:pPr>
    </w:p>
    <w:p w:rsidR="0014682D" w:rsidRDefault="00361CB3" w:rsidP="0014682D">
      <w:pPr>
        <w:jc w:val="center"/>
      </w:pPr>
      <w:r>
        <w:rPr>
          <w:noProof/>
          <w:lang w:eastAsia="tr-TR"/>
        </w:rPr>
        <w:drawing>
          <wp:inline distT="0" distB="0" distL="0" distR="0">
            <wp:extent cx="5867400" cy="3562350"/>
            <wp:effectExtent l="0" t="0" r="0" b="0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C15A9" w:rsidRDefault="00AC15A9" w:rsidP="0014682D">
      <w:pPr>
        <w:jc w:val="center"/>
      </w:pPr>
    </w:p>
    <w:p w:rsidR="004F788A" w:rsidRDefault="004F788A" w:rsidP="0014682D">
      <w:pPr>
        <w:jc w:val="center"/>
      </w:pPr>
    </w:p>
    <w:p w:rsidR="004F788A" w:rsidRDefault="004F788A" w:rsidP="0014682D">
      <w:pPr>
        <w:jc w:val="center"/>
      </w:pPr>
    </w:p>
    <w:p w:rsidR="0014682D" w:rsidRDefault="004F48A9" w:rsidP="0014682D">
      <w:pPr>
        <w:jc w:val="center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143510</wp:posOffset>
                </wp:positionV>
                <wp:extent cx="5057775" cy="577850"/>
                <wp:effectExtent l="0" t="0" r="9525" b="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0D0" w:rsidRPr="00FE7776" w:rsidRDefault="007640D0" w:rsidP="001468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E7776">
                              <w:rPr>
                                <w:b/>
                              </w:rPr>
                              <w:t>PGM-İTFAİYE MÜDÜRLÜĞÜ</w:t>
                            </w:r>
                          </w:p>
                          <w:p w:rsidR="007640D0" w:rsidRDefault="007640D0" w:rsidP="001468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E7776">
                              <w:rPr>
                                <w:b/>
                              </w:rPr>
                              <w:t>202</w:t>
                            </w:r>
                            <w:r w:rsidR="004F788A">
                              <w:rPr>
                                <w:b/>
                              </w:rPr>
                              <w:t>3</w:t>
                            </w:r>
                            <w:r w:rsidRPr="00FE7776">
                              <w:rPr>
                                <w:b/>
                              </w:rPr>
                              <w:t xml:space="preserve"> YILINDA MEYDANA GELEN YANGINLARIN</w:t>
                            </w:r>
                          </w:p>
                          <w:p w:rsidR="007640D0" w:rsidRPr="007F586B" w:rsidRDefault="007640D0" w:rsidP="001468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/>
                              </w:rPr>
                            </w:pPr>
                            <w:r>
                              <w:rPr>
                                <w:b/>
                              </w:rPr>
                              <w:t>TÜRLERE</w:t>
                            </w:r>
                            <w:r w:rsidRPr="00FE7776">
                              <w:rPr>
                                <w:b/>
                              </w:rPr>
                              <w:t xml:space="preserve"> GÖRE </w:t>
                            </w:r>
                            <w:r>
                              <w:rPr>
                                <w:b/>
                              </w:rPr>
                              <w:t>DAĞILIMI</w:t>
                            </w:r>
                            <w:r w:rsidR="007F586B">
                              <w:rPr>
                                <w:b/>
                                <w:lang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9.85pt;margin-top:11.3pt;width:398.25pt;height:4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gFKAIAAFAEAAAOAAAAZHJzL2Uyb0RvYy54bWysVMGO0zAQvSPxD5bvNGnV0N2o6WrpUoTY&#10;BaSFD3Acp7GwPcZ2mpSvZ+x0S7XABZGD5fGMn2fem8n6ZtSKHITzEkxF57OcEmE4NNLsK/r1y+7V&#10;FSU+MNMwBUZU9Cg8vdm8fLEebCkW0IFqhCMIYnw52Ip2IdgyyzzvhGZ+BlYYdLbgNAtoun3WODYg&#10;ulbZIs9fZwO4xjrgwns8vZucdJPw21bw8KltvQhEVRRzC2l1aa3jmm3WrNw7ZjvJT2mwf8hCM2nw&#10;0TPUHQuM9E7+BqUld+ChDTMOOoO2lVykGrCaef6smseOWZFqQXK8PdPk/x8s/3j47IhsUDukxzCN&#10;Gj2IIA350Ife92QRKRqsLzHy0WJsGN/AiOGpXG/vgX/zxMC2Y2Yvbp2DoROswRTn8WZ2cXXC8RGk&#10;Hh6gwadYHyABja3TkT9khCA65nI8yyPGQDgeFnmxWq0KSjj6cHtVJP0yVj7dts6HdwI0iZuKOpQ/&#10;obPDvQ8xG1Y+hcTHPCjZ7KRSyXD7eqscOTBslV36UgHPwpQhQ0Wvi0UxEfBXiDx9f4LQMmDPK6kr&#10;enUOYmWk7a1pUkcGJtW0x5SVOfEYqZtIDGM9JtXO8tTQHJFYB1OL40jipgP3g5IB27ui/nvPnKBE&#10;vTcozvV8uYzzkIxlsVqg4S499aWHGY5QFQ2UTNttSDMUeTNwiyK2MvEb1Z4yOaWMbZtoP41YnItL&#10;O0X9+hFsfgIAAP//AwBQSwMEFAAGAAgAAAAhAH6jPrDfAAAACgEAAA8AAABkcnMvZG93bnJldi54&#10;bWxMj8FOwzAQRO9I/IO1SFwQdZIitwlxKoQEghsUBFc33iYR9jrYbhr+HvcEx9E8zb6tN7M1bEIf&#10;BkcS8kUGDKl1eqBOwvvbw/UaWIiKtDKOUMIPBtg052e1qrQ70itO29ixNEKhUhL6GMeK89D2aFVY&#10;uBEpdXvnrYop+o5rr45p3BpeZJngVg2ULvRqxPse26/twUpY3zxNn+F5+fLRir0p49Vqevz2Ul5e&#10;zHe3wCLO8Q+Gk35ShyY57dyBdGAm5bxcJVRCUQhgCShzUQDbnZqlAN7U/P8LzS8AAAD//wMAUEsB&#10;Ai0AFAAGAAgAAAAhALaDOJL+AAAA4QEAABMAAAAAAAAAAAAAAAAAAAAAAFtDb250ZW50X1R5cGVz&#10;XS54bWxQSwECLQAUAAYACAAAACEAOP0h/9YAAACUAQAACwAAAAAAAAAAAAAAAAAvAQAAX3JlbHMv&#10;LnJlbHNQSwECLQAUAAYACAAAACEA5UVIBSgCAABQBAAADgAAAAAAAAAAAAAAAAAuAgAAZHJzL2Uy&#10;b0RvYy54bWxQSwECLQAUAAYACAAAACEAfqM+sN8AAAAKAQAADwAAAAAAAAAAAAAAAACCBAAAZHJz&#10;L2Rvd25yZXYueG1sUEsFBgAAAAAEAAQA8wAAAI4FAAAAAA==&#10;">
                <v:textbox>
                  <w:txbxContent>
                    <w:p w:rsidR="007640D0" w:rsidRPr="00FE7776" w:rsidRDefault="007640D0" w:rsidP="0014682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FE7776">
                        <w:rPr>
                          <w:b/>
                        </w:rPr>
                        <w:t>PGM-İTFAİYE MÜDÜRLÜĞÜ</w:t>
                      </w:r>
                    </w:p>
                    <w:p w:rsidR="007640D0" w:rsidRDefault="007640D0" w:rsidP="0014682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FE7776">
                        <w:rPr>
                          <w:b/>
                        </w:rPr>
                        <w:t>202</w:t>
                      </w:r>
                      <w:r w:rsidR="004F788A">
                        <w:rPr>
                          <w:b/>
                        </w:rPr>
                        <w:t>3</w:t>
                      </w:r>
                      <w:r w:rsidRPr="00FE7776">
                        <w:rPr>
                          <w:b/>
                        </w:rPr>
                        <w:t xml:space="preserve"> YILINDA MEYDANA GELEN YANGINLARIN</w:t>
                      </w:r>
                    </w:p>
                    <w:p w:rsidR="007640D0" w:rsidRPr="007F586B" w:rsidRDefault="007640D0" w:rsidP="0014682D">
                      <w:pPr>
                        <w:spacing w:after="0" w:line="240" w:lineRule="auto"/>
                        <w:jc w:val="center"/>
                        <w:rPr>
                          <w:b/>
                          <w:lang/>
                        </w:rPr>
                      </w:pPr>
                      <w:r>
                        <w:rPr>
                          <w:b/>
                        </w:rPr>
                        <w:t>TÜRLERE</w:t>
                      </w:r>
                      <w:r w:rsidRPr="00FE7776">
                        <w:rPr>
                          <w:b/>
                        </w:rPr>
                        <w:t xml:space="preserve"> GÖRE </w:t>
                      </w:r>
                      <w:r>
                        <w:rPr>
                          <w:b/>
                        </w:rPr>
                        <w:t>DAĞILIMI</w:t>
                      </w:r>
                      <w:r w:rsidR="007F586B">
                        <w:rPr>
                          <w:b/>
                          <w:lang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682D" w:rsidRDefault="0014682D" w:rsidP="0014682D">
      <w:pPr>
        <w:jc w:val="center"/>
      </w:pPr>
    </w:p>
    <w:p w:rsidR="0014682D" w:rsidRDefault="0014682D" w:rsidP="0014682D">
      <w:pPr>
        <w:jc w:val="center"/>
      </w:pPr>
    </w:p>
    <w:p w:rsidR="001546D1" w:rsidRDefault="00C829E2" w:rsidP="00950F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5810250" cy="3533775"/>
            <wp:effectExtent l="38100" t="0" r="0" b="9525"/>
            <wp:docPr id="6" name="Grafik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4682D" w:rsidRDefault="0014682D" w:rsidP="0014682D">
      <w:pPr>
        <w:rPr>
          <w:rFonts w:ascii="Times New Roman" w:hAnsi="Times New Roman" w:cs="Times New Roman"/>
          <w:b/>
          <w:sz w:val="24"/>
          <w:szCs w:val="24"/>
        </w:rPr>
      </w:pPr>
    </w:p>
    <w:p w:rsidR="00B30C7D" w:rsidRPr="00EE05D4" w:rsidRDefault="004F788A" w:rsidP="00EE05D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2023</w:t>
      </w:r>
      <w:r w:rsidR="00EE05D4" w:rsidRPr="00EE05D4">
        <w:rPr>
          <w:rFonts w:ascii="Times New Roman" w:hAnsi="Times New Roman" w:cs="Times New Roman"/>
          <w:b/>
          <w:sz w:val="36"/>
          <w:szCs w:val="36"/>
          <w:u w:val="single"/>
        </w:rPr>
        <w:t xml:space="preserve"> YILI İTFAİYE HİZMETLERİ</w:t>
      </w:r>
    </w:p>
    <w:p w:rsidR="008A55E2" w:rsidRPr="00193378" w:rsidRDefault="00C62868" w:rsidP="00950FE7">
      <w:pPr>
        <w:rPr>
          <w:rFonts w:ascii="Times New Roman" w:hAnsi="Times New Roman" w:cs="Times New Roman"/>
          <w:b/>
          <w:sz w:val="24"/>
          <w:szCs w:val="24"/>
        </w:rPr>
      </w:pPr>
      <w:r w:rsidRPr="00193378">
        <w:rPr>
          <w:rFonts w:ascii="Times New Roman" w:hAnsi="Times New Roman" w:cs="Times New Roman"/>
          <w:b/>
          <w:sz w:val="24"/>
          <w:szCs w:val="24"/>
        </w:rPr>
        <w:t>Hususi Servis Hizmeti O</w:t>
      </w:r>
      <w:r w:rsidR="008A55E2" w:rsidRPr="00193378">
        <w:rPr>
          <w:rFonts w:ascii="Times New Roman" w:hAnsi="Times New Roman" w:cs="Times New Roman"/>
          <w:b/>
          <w:sz w:val="24"/>
          <w:szCs w:val="24"/>
        </w:rPr>
        <w:t>larak;</w:t>
      </w:r>
    </w:p>
    <w:p w:rsidR="008A55E2" w:rsidRPr="00B30C7D" w:rsidRDefault="004F788A" w:rsidP="00924F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420B2F">
        <w:rPr>
          <w:rFonts w:ascii="Times New Roman" w:hAnsi="Times New Roman" w:cs="Times New Roman"/>
          <w:sz w:val="24"/>
          <w:szCs w:val="24"/>
        </w:rPr>
        <w:t xml:space="preserve"> yılı içerisinde toplam </w:t>
      </w:r>
      <w:r>
        <w:rPr>
          <w:rFonts w:ascii="Times New Roman" w:hAnsi="Times New Roman" w:cs="Times New Roman"/>
          <w:b/>
          <w:sz w:val="24"/>
          <w:szCs w:val="24"/>
        </w:rPr>
        <w:t>1241</w:t>
      </w:r>
      <w:r w:rsidR="00420B2F">
        <w:rPr>
          <w:rFonts w:ascii="Times New Roman" w:hAnsi="Times New Roman" w:cs="Times New Roman"/>
          <w:sz w:val="24"/>
          <w:szCs w:val="24"/>
        </w:rPr>
        <w:t xml:space="preserve"> hususi hizmet </w:t>
      </w:r>
      <w:r>
        <w:rPr>
          <w:rFonts w:ascii="Times New Roman" w:hAnsi="Times New Roman" w:cs="Times New Roman"/>
          <w:sz w:val="24"/>
          <w:szCs w:val="24"/>
        </w:rPr>
        <w:t>görevi yapılmış olup bunlar; 391 can kurtarma, 234 yangına karşı tedbir alma, 227</w:t>
      </w:r>
      <w:r w:rsidR="00420B2F">
        <w:rPr>
          <w:rFonts w:ascii="Times New Roman" w:hAnsi="Times New Roman" w:cs="Times New Roman"/>
          <w:sz w:val="24"/>
          <w:szCs w:val="24"/>
        </w:rPr>
        <w:t xml:space="preserve"> hayatını kaybeden şahısları adli soruşturma </w:t>
      </w:r>
      <w:r>
        <w:rPr>
          <w:rFonts w:ascii="Times New Roman" w:hAnsi="Times New Roman" w:cs="Times New Roman"/>
          <w:sz w:val="24"/>
          <w:szCs w:val="24"/>
        </w:rPr>
        <w:t>amaçlı hastane morguna sevk, 1</w:t>
      </w:r>
      <w:r w:rsidR="00B83D36">
        <w:rPr>
          <w:rFonts w:ascii="Times New Roman" w:hAnsi="Times New Roman" w:cs="Times New Roman"/>
          <w:sz w:val="24"/>
          <w:szCs w:val="24"/>
          <w:lang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46 yangın eğitimi, 116 özel görev, 47 yol güvenliğinin sağlanması, 43 trafik kazasından kurtarma,</w:t>
      </w:r>
      <w:r w:rsidR="008D4D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32 </w:t>
      </w:r>
      <w:r w:rsidR="008D4D22">
        <w:rPr>
          <w:rFonts w:ascii="Times New Roman" w:hAnsi="Times New Roman" w:cs="Times New Roman"/>
          <w:sz w:val="24"/>
          <w:szCs w:val="24"/>
        </w:rPr>
        <w:t>doğal afete müd</w:t>
      </w:r>
      <w:r>
        <w:rPr>
          <w:rFonts w:ascii="Times New Roman" w:hAnsi="Times New Roman" w:cs="Times New Roman"/>
          <w:sz w:val="24"/>
          <w:szCs w:val="24"/>
        </w:rPr>
        <w:t xml:space="preserve">ahale </w:t>
      </w:r>
      <w:r w:rsidR="00420B2F">
        <w:rPr>
          <w:rFonts w:ascii="Times New Roman" w:hAnsi="Times New Roman" w:cs="Times New Roman"/>
          <w:sz w:val="24"/>
          <w:szCs w:val="24"/>
        </w:rPr>
        <w:t>olmuştur.</w:t>
      </w:r>
    </w:p>
    <w:p w:rsidR="00B30C7D" w:rsidRPr="00B30C7D" w:rsidRDefault="00B30C7D" w:rsidP="00950FE7">
      <w:pPr>
        <w:rPr>
          <w:rFonts w:ascii="Times New Roman" w:hAnsi="Times New Roman" w:cs="Times New Roman"/>
          <w:sz w:val="24"/>
          <w:szCs w:val="24"/>
        </w:rPr>
      </w:pPr>
    </w:p>
    <w:p w:rsidR="00961A6D" w:rsidRPr="00F06D9A" w:rsidRDefault="00A129BA" w:rsidP="00950FE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6D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Yangınl</w:t>
      </w:r>
      <w:r w:rsidR="00924F97" w:rsidRPr="00F06D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arı Önleme </w:t>
      </w:r>
      <w:r w:rsidR="00193378" w:rsidRPr="00F06D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ile </w:t>
      </w:r>
      <w:r w:rsidR="00924F97" w:rsidRPr="00F06D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İlgili Yazışma,</w:t>
      </w:r>
      <w:r w:rsidRPr="00F06D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Görüş</w:t>
      </w:r>
      <w:r w:rsidR="00924F97" w:rsidRPr="00F06D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93378" w:rsidRPr="00F06D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 </w:t>
      </w:r>
      <w:r w:rsidR="00924F97" w:rsidRPr="00F06D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Eğitim</w:t>
      </w:r>
      <w:r w:rsidRPr="00F06D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Hizmeti</w:t>
      </w:r>
      <w:r w:rsidR="00C62868" w:rsidRPr="00F06D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Olarak;</w:t>
      </w:r>
    </w:p>
    <w:p w:rsidR="00C62868" w:rsidRPr="00F06D9A" w:rsidRDefault="00E15BC4" w:rsidP="001933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5BC4">
        <w:rPr>
          <w:rFonts w:ascii="Times New Roman" w:hAnsi="Times New Roman" w:cs="Times New Roman"/>
          <w:color w:val="000000" w:themeColor="text1"/>
          <w:sz w:val="24"/>
          <w:szCs w:val="24"/>
        </w:rPr>
        <w:t>589</w:t>
      </w:r>
      <w:r w:rsidR="00C45106" w:rsidRPr="00E15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işyeri (Otel-Restoran-Okul-Dükka</w:t>
      </w:r>
      <w:r w:rsidR="00F06D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n-Benzin İstasyonları-Konutlar) </w:t>
      </w:r>
      <w:r w:rsidR="00F06D9A" w:rsidRPr="00F06D9A">
        <w:rPr>
          <w:rFonts w:ascii="Times New Roman" w:hAnsi="Times New Roman" w:cs="Times New Roman"/>
          <w:color w:val="000000" w:themeColor="text1"/>
          <w:sz w:val="24"/>
          <w:szCs w:val="24"/>
        </w:rPr>
        <w:t>382 Bina inşaat proje,</w:t>
      </w:r>
      <w:r w:rsidR="00F06D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5BC4">
        <w:rPr>
          <w:rFonts w:ascii="Times New Roman" w:hAnsi="Times New Roman" w:cs="Times New Roman"/>
          <w:color w:val="000000" w:themeColor="text1"/>
          <w:sz w:val="24"/>
          <w:szCs w:val="24"/>
        </w:rPr>
        <w:t>350</w:t>
      </w:r>
      <w:r w:rsidR="008C1144" w:rsidRPr="00E15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arsa parselasyonu</w:t>
      </w:r>
      <w:r w:rsidR="00F06D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C1144" w:rsidRPr="000A7E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06D9A">
        <w:rPr>
          <w:rFonts w:ascii="Times New Roman" w:hAnsi="Times New Roman" w:cs="Times New Roman"/>
          <w:color w:val="000000" w:themeColor="text1"/>
          <w:sz w:val="24"/>
          <w:szCs w:val="24"/>
        </w:rPr>
        <w:t>134</w:t>
      </w:r>
      <w:r w:rsidR="00C62868" w:rsidRPr="00F06D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Yangın önlemleri,</w:t>
      </w:r>
      <w:r w:rsidR="00301B2F" w:rsidRPr="00F06D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6D9A">
        <w:rPr>
          <w:rFonts w:ascii="Times New Roman" w:hAnsi="Times New Roman" w:cs="Times New Roman"/>
          <w:color w:val="000000" w:themeColor="text1"/>
          <w:sz w:val="24"/>
          <w:szCs w:val="24"/>
        </w:rPr>
        <w:t>78</w:t>
      </w:r>
      <w:r w:rsidR="00301B2F" w:rsidRPr="00F06D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29BA" w:rsidRPr="00F06D9A">
        <w:rPr>
          <w:rFonts w:ascii="Times New Roman" w:hAnsi="Times New Roman" w:cs="Times New Roman"/>
          <w:color w:val="000000" w:themeColor="text1"/>
          <w:sz w:val="24"/>
          <w:szCs w:val="24"/>
        </w:rPr>
        <w:t>akaryakıt</w:t>
      </w:r>
      <w:r w:rsidR="00584DAA" w:rsidRPr="00F06D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tankeri</w:t>
      </w:r>
      <w:r w:rsidR="00C45106" w:rsidRPr="00F06D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olmak üzere toplam </w:t>
      </w:r>
      <w:r w:rsidRPr="00F06D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1533</w:t>
      </w:r>
      <w:r w:rsidR="00301B2F" w:rsidRPr="00F06D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2868" w:rsidRPr="00F06D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kontrol </w:t>
      </w:r>
      <w:r w:rsidR="00E4145D" w:rsidRPr="00F06D9A">
        <w:rPr>
          <w:rFonts w:ascii="Times New Roman" w:hAnsi="Times New Roman" w:cs="Times New Roman"/>
          <w:color w:val="000000" w:themeColor="text1"/>
          <w:sz w:val="24"/>
          <w:szCs w:val="24"/>
        </w:rPr>
        <w:t>yapılmıştır.</w:t>
      </w:r>
      <w:r w:rsidR="005D100B" w:rsidRPr="00F06D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45106" w:rsidRPr="00C45106" w:rsidRDefault="00C45106" w:rsidP="00924F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45106" w:rsidRPr="00C45106" w:rsidSect="00EE05D4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C3"/>
    <w:rsid w:val="00015CEE"/>
    <w:rsid w:val="0003508B"/>
    <w:rsid w:val="00040A8C"/>
    <w:rsid w:val="00045A3E"/>
    <w:rsid w:val="00074062"/>
    <w:rsid w:val="000914E0"/>
    <w:rsid w:val="000A7E27"/>
    <w:rsid w:val="000B2094"/>
    <w:rsid w:val="000E1376"/>
    <w:rsid w:val="000E5B86"/>
    <w:rsid w:val="000F3EB1"/>
    <w:rsid w:val="000F47A1"/>
    <w:rsid w:val="00111481"/>
    <w:rsid w:val="00127A68"/>
    <w:rsid w:val="0013026E"/>
    <w:rsid w:val="0014682D"/>
    <w:rsid w:val="001546D1"/>
    <w:rsid w:val="0017520E"/>
    <w:rsid w:val="001830E8"/>
    <w:rsid w:val="00193378"/>
    <w:rsid w:val="0019756C"/>
    <w:rsid w:val="00200B23"/>
    <w:rsid w:val="00204FBC"/>
    <w:rsid w:val="00213E00"/>
    <w:rsid w:val="002177B5"/>
    <w:rsid w:val="002179ED"/>
    <w:rsid w:val="00223526"/>
    <w:rsid w:val="002267F0"/>
    <w:rsid w:val="0022768D"/>
    <w:rsid w:val="00230DB2"/>
    <w:rsid w:val="00246F00"/>
    <w:rsid w:val="00286C99"/>
    <w:rsid w:val="00287504"/>
    <w:rsid w:val="002E45AE"/>
    <w:rsid w:val="00301B2F"/>
    <w:rsid w:val="00314208"/>
    <w:rsid w:val="00325F09"/>
    <w:rsid w:val="00332FD2"/>
    <w:rsid w:val="003560D8"/>
    <w:rsid w:val="00361CB3"/>
    <w:rsid w:val="0036337B"/>
    <w:rsid w:val="00364753"/>
    <w:rsid w:val="003703DC"/>
    <w:rsid w:val="00372064"/>
    <w:rsid w:val="003821C4"/>
    <w:rsid w:val="00385206"/>
    <w:rsid w:val="003B3D93"/>
    <w:rsid w:val="003D1DCC"/>
    <w:rsid w:val="003E24CA"/>
    <w:rsid w:val="00403651"/>
    <w:rsid w:val="00413DA4"/>
    <w:rsid w:val="00420B2F"/>
    <w:rsid w:val="004215F7"/>
    <w:rsid w:val="00425276"/>
    <w:rsid w:val="0043053A"/>
    <w:rsid w:val="0046727F"/>
    <w:rsid w:val="00470C12"/>
    <w:rsid w:val="00471A29"/>
    <w:rsid w:val="004758C2"/>
    <w:rsid w:val="00480A6E"/>
    <w:rsid w:val="00491358"/>
    <w:rsid w:val="00491728"/>
    <w:rsid w:val="00493D8B"/>
    <w:rsid w:val="004A328B"/>
    <w:rsid w:val="004E4ADA"/>
    <w:rsid w:val="004F48A9"/>
    <w:rsid w:val="004F788A"/>
    <w:rsid w:val="005067C8"/>
    <w:rsid w:val="0052561C"/>
    <w:rsid w:val="00532D04"/>
    <w:rsid w:val="00543E83"/>
    <w:rsid w:val="0055222A"/>
    <w:rsid w:val="00567912"/>
    <w:rsid w:val="00570FDB"/>
    <w:rsid w:val="00573A07"/>
    <w:rsid w:val="005771AD"/>
    <w:rsid w:val="00584DAA"/>
    <w:rsid w:val="00596598"/>
    <w:rsid w:val="00597F7B"/>
    <w:rsid w:val="005A77DC"/>
    <w:rsid w:val="005C409C"/>
    <w:rsid w:val="005C6FEB"/>
    <w:rsid w:val="005D100B"/>
    <w:rsid w:val="005E3BE4"/>
    <w:rsid w:val="005F1711"/>
    <w:rsid w:val="006054BC"/>
    <w:rsid w:val="006120BB"/>
    <w:rsid w:val="0062096C"/>
    <w:rsid w:val="00630FC7"/>
    <w:rsid w:val="00645AAA"/>
    <w:rsid w:val="0065087E"/>
    <w:rsid w:val="00651D26"/>
    <w:rsid w:val="00652615"/>
    <w:rsid w:val="00662476"/>
    <w:rsid w:val="00673237"/>
    <w:rsid w:val="00675823"/>
    <w:rsid w:val="006B2F3C"/>
    <w:rsid w:val="006B447B"/>
    <w:rsid w:val="00702BC8"/>
    <w:rsid w:val="00707198"/>
    <w:rsid w:val="007071FF"/>
    <w:rsid w:val="00734438"/>
    <w:rsid w:val="007445EF"/>
    <w:rsid w:val="00752055"/>
    <w:rsid w:val="0075419B"/>
    <w:rsid w:val="00755B16"/>
    <w:rsid w:val="0075637F"/>
    <w:rsid w:val="007640D0"/>
    <w:rsid w:val="007722CB"/>
    <w:rsid w:val="00786473"/>
    <w:rsid w:val="007927AA"/>
    <w:rsid w:val="007C0ABE"/>
    <w:rsid w:val="007F1C02"/>
    <w:rsid w:val="007F586B"/>
    <w:rsid w:val="00827995"/>
    <w:rsid w:val="008502CA"/>
    <w:rsid w:val="008549CB"/>
    <w:rsid w:val="00855671"/>
    <w:rsid w:val="008921C2"/>
    <w:rsid w:val="00893484"/>
    <w:rsid w:val="0089681E"/>
    <w:rsid w:val="008A0C7B"/>
    <w:rsid w:val="008A211A"/>
    <w:rsid w:val="008A55E2"/>
    <w:rsid w:val="008B3758"/>
    <w:rsid w:val="008C1144"/>
    <w:rsid w:val="008C1945"/>
    <w:rsid w:val="008C7BB2"/>
    <w:rsid w:val="008C7C03"/>
    <w:rsid w:val="008D4D22"/>
    <w:rsid w:val="008D6860"/>
    <w:rsid w:val="008F7349"/>
    <w:rsid w:val="00924F97"/>
    <w:rsid w:val="00936B1F"/>
    <w:rsid w:val="00941C8E"/>
    <w:rsid w:val="00946544"/>
    <w:rsid w:val="00950FE7"/>
    <w:rsid w:val="00961A6D"/>
    <w:rsid w:val="0096250B"/>
    <w:rsid w:val="009639C3"/>
    <w:rsid w:val="00975669"/>
    <w:rsid w:val="00980B8B"/>
    <w:rsid w:val="009A1A03"/>
    <w:rsid w:val="009C5D4D"/>
    <w:rsid w:val="009D35D5"/>
    <w:rsid w:val="009D36B8"/>
    <w:rsid w:val="009E371E"/>
    <w:rsid w:val="00A00E0C"/>
    <w:rsid w:val="00A129BA"/>
    <w:rsid w:val="00A36B58"/>
    <w:rsid w:val="00A437B9"/>
    <w:rsid w:val="00AA32CB"/>
    <w:rsid w:val="00AB2CA3"/>
    <w:rsid w:val="00AC15A9"/>
    <w:rsid w:val="00AD4DDD"/>
    <w:rsid w:val="00AE6AE6"/>
    <w:rsid w:val="00AF51DB"/>
    <w:rsid w:val="00B30C7D"/>
    <w:rsid w:val="00B401B2"/>
    <w:rsid w:val="00B4278D"/>
    <w:rsid w:val="00B47AEA"/>
    <w:rsid w:val="00B53EB7"/>
    <w:rsid w:val="00B6292B"/>
    <w:rsid w:val="00B83D36"/>
    <w:rsid w:val="00BA5CEF"/>
    <w:rsid w:val="00BB72C6"/>
    <w:rsid w:val="00BC0C09"/>
    <w:rsid w:val="00BD0D51"/>
    <w:rsid w:val="00BD1AD2"/>
    <w:rsid w:val="00BD2ECA"/>
    <w:rsid w:val="00BD7531"/>
    <w:rsid w:val="00BE6564"/>
    <w:rsid w:val="00BF1C91"/>
    <w:rsid w:val="00BF4584"/>
    <w:rsid w:val="00C24CC3"/>
    <w:rsid w:val="00C31FE6"/>
    <w:rsid w:val="00C40253"/>
    <w:rsid w:val="00C45106"/>
    <w:rsid w:val="00C62868"/>
    <w:rsid w:val="00C62C33"/>
    <w:rsid w:val="00C64518"/>
    <w:rsid w:val="00C829E2"/>
    <w:rsid w:val="00CB1F0B"/>
    <w:rsid w:val="00CC12D9"/>
    <w:rsid w:val="00CC3651"/>
    <w:rsid w:val="00CD5559"/>
    <w:rsid w:val="00CE12BD"/>
    <w:rsid w:val="00CE4A2F"/>
    <w:rsid w:val="00D3249B"/>
    <w:rsid w:val="00DC3F3F"/>
    <w:rsid w:val="00E0276A"/>
    <w:rsid w:val="00E15BC4"/>
    <w:rsid w:val="00E4145D"/>
    <w:rsid w:val="00E92AFC"/>
    <w:rsid w:val="00EE05D4"/>
    <w:rsid w:val="00EE0FA3"/>
    <w:rsid w:val="00EF4359"/>
    <w:rsid w:val="00EF4472"/>
    <w:rsid w:val="00F0537C"/>
    <w:rsid w:val="00F06D9A"/>
    <w:rsid w:val="00F309DD"/>
    <w:rsid w:val="00F333CA"/>
    <w:rsid w:val="00F44393"/>
    <w:rsid w:val="00F6120D"/>
    <w:rsid w:val="00F67CDE"/>
    <w:rsid w:val="00F83925"/>
    <w:rsid w:val="00FA0795"/>
    <w:rsid w:val="00FA757F"/>
    <w:rsid w:val="00FC3A5E"/>
    <w:rsid w:val="00FD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4C48"/>
  <w15:docId w15:val="{F6D7C1C5-52BE-4EB0-A8F3-C1FEE259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6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6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2024 YILI</c:v>
                </c:pt>
              </c:strCache>
            </c:strRef>
          </c:tx>
          <c:spPr>
            <a:solidFill>
              <a:srgbClr val="FF0000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9"/>
              <c:layout>
                <c:manualLayout>
                  <c:x val="-2.1857670995587289E-16"/>
                  <c:y val="2.9585798816568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967-4EB5-ABD7-8F7FCDEA8A4F}"/>
                </c:ext>
              </c:extLst>
            </c:dLbl>
            <c:dLbl>
              <c:idx val="10"/>
              <c:layout>
                <c:manualLayout>
                  <c:x val="0"/>
                  <c:y val="2.1524632429795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0D1-444F-9864-428A04EFF7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Sayfa1!$A$2:$A$13</c:f>
              <c:strCache>
                <c:ptCount val="12"/>
                <c:pt idx="0">
                  <c:v>Lefkoşa</c:v>
                </c:pt>
                <c:pt idx="1">
                  <c:v>Girne</c:v>
                </c:pt>
                <c:pt idx="2">
                  <c:v>Gazimağusa</c:v>
                </c:pt>
                <c:pt idx="3">
                  <c:v>Güzelyurt</c:v>
                </c:pt>
                <c:pt idx="4">
                  <c:v>Geçitkale</c:v>
                </c:pt>
                <c:pt idx="5">
                  <c:v>Çağlayan</c:v>
                </c:pt>
                <c:pt idx="6">
                  <c:v>İskele</c:v>
                </c:pt>
                <c:pt idx="7">
                  <c:v>Gemikonağı</c:v>
                </c:pt>
                <c:pt idx="8">
                  <c:v>Yeşilköy</c:v>
                </c:pt>
                <c:pt idx="9">
                  <c:v>Vadili</c:v>
                </c:pt>
                <c:pt idx="10">
                  <c:v>Dipkarpaz</c:v>
                </c:pt>
                <c:pt idx="11">
                  <c:v>Toplam</c:v>
                </c:pt>
              </c:strCache>
            </c:strRef>
          </c:cat>
          <c:val>
            <c:numRef>
              <c:f>Sayfa1!$B$2:$B$13</c:f>
              <c:numCache>
                <c:formatCode>General</c:formatCode>
                <c:ptCount val="12"/>
                <c:pt idx="0">
                  <c:v>148</c:v>
                </c:pt>
                <c:pt idx="1">
                  <c:v>115</c:v>
                </c:pt>
                <c:pt idx="2">
                  <c:v>101</c:v>
                </c:pt>
                <c:pt idx="3">
                  <c:v>37</c:v>
                </c:pt>
                <c:pt idx="4">
                  <c:v>31</c:v>
                </c:pt>
                <c:pt idx="5">
                  <c:v>29</c:v>
                </c:pt>
                <c:pt idx="6">
                  <c:v>27</c:v>
                </c:pt>
                <c:pt idx="7">
                  <c:v>27</c:v>
                </c:pt>
                <c:pt idx="8">
                  <c:v>15</c:v>
                </c:pt>
                <c:pt idx="9">
                  <c:v>8</c:v>
                </c:pt>
                <c:pt idx="10">
                  <c:v>6</c:v>
                </c:pt>
                <c:pt idx="11">
                  <c:v>544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67-4EB5-ABD7-8F7FCDEA8A4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62153856"/>
        <c:axId val="62155392"/>
      </c:barChart>
      <c:catAx>
        <c:axId val="62153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62155392"/>
        <c:crosses val="autoZero"/>
        <c:auto val="1"/>
        <c:lblAlgn val="ctr"/>
        <c:lblOffset val="100"/>
        <c:noMultiLvlLbl val="0"/>
      </c:catAx>
      <c:valAx>
        <c:axId val="62155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65000"/>
                  <a:lumOff val="3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62153856"/>
        <c:crosses val="autoZero"/>
        <c:crossBetween val="between"/>
      </c:valAx>
      <c:spPr>
        <a:noFill/>
        <a:ln>
          <a:solidFill>
            <a:schemeClr val="tx1">
              <a:lumMod val="65000"/>
              <a:lumOff val="35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1746031746031744E-2"/>
          <c:w val="0.93574347477398689"/>
          <c:h val="0.96586082989626276"/>
        </c:manualLayout>
      </c:layout>
      <c:pie3D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Sütun1</c:v>
                </c:pt>
              </c:strCache>
            </c:strRef>
          </c:tx>
          <c:explosion val="25"/>
          <c:dLbls>
            <c:dLbl>
              <c:idx val="8"/>
              <c:layout>
                <c:manualLayout>
                  <c:x val="1.6651548950377449E-2"/>
                  <c:y val="4.905239687848384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901-40E2-80B5-0DDC86BCD0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tr-T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Sayfa1!$A$2:$A$12</c:f>
              <c:strCache>
                <c:ptCount val="11"/>
                <c:pt idx="0">
                  <c:v>LEFKOŞA</c:v>
                </c:pt>
                <c:pt idx="1">
                  <c:v>Girne</c:v>
                </c:pt>
                <c:pt idx="2">
                  <c:v>GAZİMAĞUSA</c:v>
                </c:pt>
                <c:pt idx="3">
                  <c:v>GÜZELYURT</c:v>
                </c:pt>
                <c:pt idx="4">
                  <c:v>GEÇİTKALE</c:v>
                </c:pt>
                <c:pt idx="5">
                  <c:v>ÇAĞLAYAN</c:v>
                </c:pt>
                <c:pt idx="6">
                  <c:v>İSKELE</c:v>
                </c:pt>
                <c:pt idx="7">
                  <c:v>GEMİKONAĞI</c:v>
                </c:pt>
                <c:pt idx="8">
                  <c:v>YEŞİLKÖY</c:v>
                </c:pt>
                <c:pt idx="9">
                  <c:v>VADİLİ</c:v>
                </c:pt>
                <c:pt idx="10">
                  <c:v>DİPKARPAZ</c:v>
                </c:pt>
              </c:strCache>
            </c:strRef>
          </c:cat>
          <c:val>
            <c:numRef>
              <c:f>Sayfa1!$B$2:$B$12</c:f>
              <c:numCache>
                <c:formatCode>General</c:formatCode>
                <c:ptCount val="11"/>
                <c:pt idx="0">
                  <c:v>27</c:v>
                </c:pt>
                <c:pt idx="1">
                  <c:v>21</c:v>
                </c:pt>
                <c:pt idx="2">
                  <c:v>19</c:v>
                </c:pt>
                <c:pt idx="3">
                  <c:v>7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6E-4A8E-B302-DAC7A64DA65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60425780110813E-4"/>
          <c:y val="8.6464504436945339E-2"/>
          <c:w val="0.85878882327209116"/>
          <c:h val="0.91030527434070763"/>
        </c:manualLayout>
      </c:layout>
      <c:pie3D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Satışlar</c:v>
                </c:pt>
              </c:strCache>
            </c:strRef>
          </c:tx>
          <c:explosion val="23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1777-4A9E-B88A-C016904EC0FC}"/>
              </c:ext>
            </c:extLst>
          </c:dPt>
          <c:dPt>
            <c:idx val="8"/>
            <c:bubble3D val="0"/>
            <c:spPr>
              <a:noFill/>
            </c:spPr>
            <c:extLst>
              <c:ext xmlns:c16="http://schemas.microsoft.com/office/drawing/2014/chart" uri="{C3380CC4-5D6E-409C-BE32-E72D297353CC}">
                <c16:uniqueId val="{00000001-4498-4027-BCAB-C2922E13CF54}"/>
              </c:ext>
            </c:extLst>
          </c:dPt>
          <c:dLbls>
            <c:dLbl>
              <c:idx val="4"/>
              <c:layout>
                <c:manualLayout>
                  <c:x val="2.1619641294838166E-2"/>
                  <c:y val="-1.1364204474440698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777-4A9E-B88A-C016904EC0FC}"/>
                </c:ext>
              </c:extLst>
            </c:dLbl>
            <c:dLbl>
              <c:idx val="6"/>
              <c:layout>
                <c:manualLayout>
                  <c:x val="9.301636774569853E-3"/>
                  <c:y val="1.7688413948256467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777-4A9E-B88A-C016904EC0FC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98-4027-BCAB-C2922E13CF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tr-T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Sayfa1!$A$2:$A$9</c:f>
              <c:strCache>
                <c:ptCount val="8"/>
                <c:pt idx="0">
                  <c:v>ARAZİ</c:v>
                </c:pt>
                <c:pt idx="1">
                  <c:v>BİNA</c:v>
                </c:pt>
                <c:pt idx="2">
                  <c:v>MOTORLU ARAÇ</c:v>
                </c:pt>
                <c:pt idx="3">
                  <c:v>ELEKTRİK</c:v>
                </c:pt>
                <c:pt idx="4">
                  <c:v>DİĞER</c:v>
                </c:pt>
                <c:pt idx="5">
                  <c:v>ÇÖP BİDONU</c:v>
                </c:pt>
                <c:pt idx="6">
                  <c:v>ÇÖPLÜKALAN</c:v>
                </c:pt>
                <c:pt idx="7">
                  <c:v>LPG</c:v>
                </c:pt>
              </c:strCache>
            </c:strRef>
          </c:cat>
          <c:val>
            <c:numRef>
              <c:f>Sayfa1!$B$2:$B$10</c:f>
              <c:numCache>
                <c:formatCode>General</c:formatCode>
                <c:ptCount val="9"/>
                <c:pt idx="0">
                  <c:v>161</c:v>
                </c:pt>
                <c:pt idx="1">
                  <c:v>134</c:v>
                </c:pt>
                <c:pt idx="2">
                  <c:v>129</c:v>
                </c:pt>
                <c:pt idx="3">
                  <c:v>54</c:v>
                </c:pt>
                <c:pt idx="4">
                  <c:v>33</c:v>
                </c:pt>
                <c:pt idx="5">
                  <c:v>17</c:v>
                </c:pt>
                <c:pt idx="6">
                  <c:v>9</c:v>
                </c:pt>
                <c:pt idx="7">
                  <c:v>4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777-4A9E-B88A-C016904EC0F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egendEntry>
        <c:idx val="8"/>
        <c:delete val="1"/>
      </c:legendEntry>
      <c:layout>
        <c:manualLayout>
          <c:xMode val="edge"/>
          <c:yMode val="edge"/>
          <c:x val="0.8141442475940508"/>
          <c:y val="5.0106549181352329E-2"/>
          <c:w val="0.16965204870224554"/>
          <c:h val="0.86804055743032116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ILETISIM BILGI ISLEM MUDURLUGU 2022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2024-01-09T08:14:00Z</cp:lastPrinted>
  <dcterms:created xsi:type="dcterms:W3CDTF">2023-12-19T07:40:00Z</dcterms:created>
  <dcterms:modified xsi:type="dcterms:W3CDTF">2024-01-09T08:57:00Z</dcterms:modified>
</cp:coreProperties>
</file>